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AE" w:rsidRDefault="00AC74AE" w:rsidP="009D7076">
      <w:pPr>
        <w:tabs>
          <w:tab w:val="left" w:pos="1545"/>
        </w:tabs>
        <w:autoSpaceDE w:val="0"/>
        <w:autoSpaceDN w:val="0"/>
        <w:adjustRightInd w:val="0"/>
        <w:spacing w:line="480" w:lineRule="auto"/>
        <w:jc w:val="center"/>
      </w:pPr>
      <w:bookmarkStart w:id="0" w:name="_Toc130125770"/>
      <w:bookmarkStart w:id="1" w:name="_Toc158214883"/>
      <w:bookmarkStart w:id="2" w:name="_GoBack"/>
      <w:bookmarkEnd w:id="2"/>
      <w:r>
        <w:t xml:space="preserve">How </w:t>
      </w:r>
      <w:r w:rsidR="007361DB">
        <w:t xml:space="preserve">Online </w:t>
      </w:r>
      <w:r>
        <w:t xml:space="preserve">Learners </w:t>
      </w:r>
      <w:r w:rsidR="00B30DD8">
        <w:t>Perceive</w:t>
      </w:r>
      <w:r w:rsidR="007361DB">
        <w:t xml:space="preserve"> Preparedness and </w:t>
      </w:r>
      <w:r>
        <w:t>Learning After Discovering Personal Learning</w:t>
      </w:r>
      <w:r w:rsidR="00B05FA1">
        <w:t>-</w:t>
      </w:r>
      <w:r w:rsidR="00B30DD8">
        <w:t xml:space="preserve">Style </w:t>
      </w:r>
      <w:r>
        <w:t>Preferences</w:t>
      </w:r>
    </w:p>
    <w:p w:rsidR="004B0CD0" w:rsidRPr="00EA1AF2" w:rsidRDefault="004B0CD0">
      <w:pPr>
        <w:autoSpaceDE w:val="0"/>
        <w:autoSpaceDN w:val="0"/>
        <w:adjustRightInd w:val="0"/>
        <w:spacing w:line="480" w:lineRule="auto"/>
        <w:jc w:val="center"/>
        <w:rPr>
          <w:rFonts w:cs="Times New Roman"/>
        </w:rPr>
      </w:pPr>
    </w:p>
    <w:p w:rsidR="004B0CD0" w:rsidRPr="00EA1AF2" w:rsidRDefault="004B0CD0">
      <w:pPr>
        <w:autoSpaceDE w:val="0"/>
        <w:autoSpaceDN w:val="0"/>
        <w:adjustRightInd w:val="0"/>
        <w:spacing w:line="480" w:lineRule="auto"/>
        <w:jc w:val="center"/>
        <w:rPr>
          <w:rFonts w:cs="Times New Roman"/>
        </w:rPr>
      </w:pPr>
    </w:p>
    <w:p w:rsidR="004B0CD0" w:rsidRPr="00EA1AF2" w:rsidRDefault="004B0CD0">
      <w:pPr>
        <w:autoSpaceDE w:val="0"/>
        <w:autoSpaceDN w:val="0"/>
        <w:adjustRightInd w:val="0"/>
        <w:spacing w:line="480" w:lineRule="auto"/>
        <w:jc w:val="center"/>
        <w:rPr>
          <w:rFonts w:cs="Times New Roman"/>
        </w:rPr>
      </w:pPr>
    </w:p>
    <w:p w:rsidR="004B0CD0" w:rsidRPr="00EA1AF2" w:rsidRDefault="004B0CD0">
      <w:pPr>
        <w:autoSpaceDE w:val="0"/>
        <w:autoSpaceDN w:val="0"/>
        <w:adjustRightInd w:val="0"/>
        <w:spacing w:line="480" w:lineRule="auto"/>
        <w:jc w:val="center"/>
        <w:rPr>
          <w:rFonts w:cs="Times New Roman"/>
        </w:rPr>
      </w:pPr>
    </w:p>
    <w:p w:rsidR="004B0CD0" w:rsidRPr="00EA1AF2" w:rsidRDefault="00173B42">
      <w:pPr>
        <w:autoSpaceDE w:val="0"/>
        <w:autoSpaceDN w:val="0"/>
        <w:adjustRightInd w:val="0"/>
        <w:spacing w:line="480" w:lineRule="auto"/>
        <w:jc w:val="center"/>
        <w:rPr>
          <w:rFonts w:cs="Times New Roman"/>
        </w:rPr>
      </w:pPr>
      <w:r>
        <w:rPr>
          <w:rFonts w:cs="Times New Roman"/>
        </w:rPr>
        <w:t>SHANNON VOYLES</w:t>
      </w:r>
    </w:p>
    <w:p w:rsidR="004B0CD0" w:rsidRPr="00EA1AF2" w:rsidRDefault="004B0CD0">
      <w:pPr>
        <w:autoSpaceDE w:val="0"/>
        <w:autoSpaceDN w:val="0"/>
        <w:adjustRightInd w:val="0"/>
        <w:jc w:val="center"/>
        <w:rPr>
          <w:rFonts w:cs="Times New Roman"/>
        </w:rPr>
      </w:pPr>
    </w:p>
    <w:p w:rsidR="004B0CD0" w:rsidRPr="00EA1AF2" w:rsidRDefault="00FA345A">
      <w:pPr>
        <w:autoSpaceDE w:val="0"/>
        <w:autoSpaceDN w:val="0"/>
        <w:adjustRightInd w:val="0"/>
        <w:spacing w:line="480" w:lineRule="auto"/>
        <w:jc w:val="center"/>
        <w:rPr>
          <w:rFonts w:cs="Times New Roman"/>
        </w:rPr>
      </w:pPr>
      <w:r>
        <w:rPr>
          <w:rFonts w:cs="Times New Roman"/>
        </w:rPr>
        <w:t>November</w:t>
      </w:r>
      <w:r w:rsidR="0088717B">
        <w:rPr>
          <w:rFonts w:cs="Times New Roman"/>
        </w:rPr>
        <w:t xml:space="preserve"> </w:t>
      </w:r>
      <w:r w:rsidR="00173B42">
        <w:rPr>
          <w:rFonts w:cs="Times New Roman"/>
        </w:rPr>
        <w:t>2013</w:t>
      </w:r>
    </w:p>
    <w:p w:rsidR="001764B7" w:rsidRPr="00EA1AF2" w:rsidRDefault="001764B7" w:rsidP="002F1976">
      <w:pPr>
        <w:pStyle w:val="header123levelsAPA"/>
      </w:pPr>
    </w:p>
    <w:p w:rsidR="001764B7" w:rsidRPr="00EA1AF2" w:rsidRDefault="001764B7" w:rsidP="002F1976">
      <w:pPr>
        <w:pStyle w:val="header123levelsAPA"/>
      </w:pPr>
    </w:p>
    <w:p w:rsidR="00BA7FCB" w:rsidRDefault="00BA7FCB" w:rsidP="003F40AD">
      <w:pPr>
        <w:spacing w:line="480" w:lineRule="auto"/>
        <w:rPr>
          <w:rFonts w:cs="Times New Roman"/>
        </w:rPr>
        <w:sectPr w:rsidR="00BA7FCB" w:rsidSect="006D42D9">
          <w:footerReference w:type="default" r:id="rId8"/>
          <w:headerReference w:type="first" r:id="rId9"/>
          <w:footerReference w:type="first" r:id="rId10"/>
          <w:pgSz w:w="12240" w:h="15840" w:code="1"/>
          <w:pgMar w:top="1440" w:right="1440" w:bottom="1440" w:left="2160" w:header="720" w:footer="720" w:gutter="0"/>
          <w:pgNumType w:fmt="lowerRoman" w:start="1"/>
          <w:cols w:space="720"/>
          <w:titlePg/>
          <w:docGrid w:linePitch="360"/>
        </w:sectPr>
      </w:pPr>
    </w:p>
    <w:p w:rsidR="001764B7" w:rsidRPr="007C7AFA" w:rsidRDefault="001764B7" w:rsidP="003F40AD">
      <w:pPr>
        <w:spacing w:line="480" w:lineRule="auto"/>
        <w:jc w:val="center"/>
        <w:rPr>
          <w:rFonts w:cs="Times New Roman"/>
          <w:highlight w:val="yellow"/>
        </w:rPr>
      </w:pPr>
      <w:r w:rsidRPr="00125806">
        <w:rPr>
          <w:rFonts w:cs="Times New Roman"/>
        </w:rPr>
        <w:lastRenderedPageBreak/>
        <w:t>Abstract</w:t>
      </w:r>
    </w:p>
    <w:p w:rsidR="00932945" w:rsidRDefault="006356F8" w:rsidP="00125806">
      <w:pPr>
        <w:spacing w:line="480" w:lineRule="auto"/>
        <w:rPr>
          <w:rFonts w:cs="Times New Roman"/>
        </w:rPr>
        <w:sectPr w:rsidR="00932945" w:rsidSect="00F34556">
          <w:footerReference w:type="default" r:id="rId11"/>
          <w:footerReference w:type="first" r:id="rId12"/>
          <w:pgSz w:w="12240" w:h="15840" w:code="1"/>
          <w:pgMar w:top="1440" w:right="1440" w:bottom="1440" w:left="2160" w:header="720" w:footer="1170" w:gutter="0"/>
          <w:pgNumType w:fmt="lowerRoman" w:start="1"/>
          <w:cols w:space="720"/>
          <w:docGrid w:linePitch="360"/>
        </w:sectPr>
      </w:pPr>
      <w:r>
        <w:t>Many</w:t>
      </w:r>
      <w:r w:rsidRPr="00D432A1">
        <w:t xml:space="preserve"> students </w:t>
      </w:r>
      <w:r>
        <w:t>withdraw</w:t>
      </w:r>
      <w:r w:rsidRPr="00D432A1">
        <w:t xml:space="preserve"> </w:t>
      </w:r>
      <w:r>
        <w:t>from online learning because of</w:t>
      </w:r>
      <w:r w:rsidRPr="00D432A1">
        <w:t xml:space="preserve"> their low levels of satisfaction and prep</w:t>
      </w:r>
      <w:r>
        <w:t>aredness</w:t>
      </w:r>
      <w:r w:rsidR="00497034">
        <w:t>, and s</w:t>
      </w:r>
      <w:r>
        <w:t xml:space="preserve">tudents are often unprepared to adapt their learning habits to meet the demands of online learning. </w:t>
      </w:r>
      <w:r w:rsidRPr="00D432A1">
        <w:t xml:space="preserve"> </w:t>
      </w:r>
      <w:r w:rsidR="00585C73">
        <w:t>However, the</w:t>
      </w:r>
      <w:r>
        <w:t xml:space="preserve"> way in which</w:t>
      </w:r>
      <w:r w:rsidRPr="007266B7">
        <w:t xml:space="preserve"> students incorporate knowledge about their own learning styles </w:t>
      </w:r>
      <w:r w:rsidRPr="00C044F1">
        <w:t>into their self-concept as learner</w:t>
      </w:r>
      <w:r>
        <w:t>s</w:t>
      </w:r>
      <w:r w:rsidRPr="00C044F1">
        <w:t xml:space="preserve"> and their perceptions of preparedness to be an online student</w:t>
      </w:r>
      <w:r>
        <w:t xml:space="preserve"> </w:t>
      </w:r>
      <w:r w:rsidR="00585C73">
        <w:t xml:space="preserve">has not been </w:t>
      </w:r>
      <w:r>
        <w:t>understood</w:t>
      </w:r>
      <w:r w:rsidR="00585C73">
        <w:t xml:space="preserve">. </w:t>
      </w:r>
      <w:r>
        <w:t xml:space="preserve"> </w:t>
      </w:r>
      <w:r w:rsidRPr="00D432A1">
        <w:t xml:space="preserve">The purpose of this </w:t>
      </w:r>
      <w:r w:rsidRPr="00FC7E90">
        <w:t xml:space="preserve">qualitative, </w:t>
      </w:r>
      <w:r>
        <w:t xml:space="preserve">exploratory, </w:t>
      </w:r>
      <w:r w:rsidRPr="00FC7E90">
        <w:t xml:space="preserve">single-case </w:t>
      </w:r>
      <w:r>
        <w:t xml:space="preserve">study </w:t>
      </w:r>
      <w:r w:rsidRPr="00BD3047">
        <w:t xml:space="preserve">was to </w:t>
      </w:r>
      <w:r>
        <w:t>discover</w:t>
      </w:r>
      <w:r w:rsidRPr="00BD3047">
        <w:t xml:space="preserve"> ho</w:t>
      </w:r>
      <w:r w:rsidRPr="00D432A1">
        <w:t>w students incorporate</w:t>
      </w:r>
      <w:r>
        <w:t>d</w:t>
      </w:r>
      <w:r w:rsidRPr="00D432A1">
        <w:t xml:space="preserve"> knowledge about their personal learning preferences into their perceptions of preparedness in the online college classroom</w:t>
      </w:r>
      <w:r>
        <w:t xml:space="preserve"> and of online learning in general</w:t>
      </w:r>
      <w:r w:rsidRPr="00D432A1">
        <w:t xml:space="preserve">.  </w:t>
      </w:r>
    </w:p>
    <w:p w:rsidR="00CE1D06" w:rsidRPr="00A0615C" w:rsidRDefault="00CE1D06" w:rsidP="002F1976">
      <w:pPr>
        <w:pStyle w:val="Heading1"/>
      </w:pPr>
      <w:bookmarkStart w:id="3" w:name="_Toc251423629"/>
      <w:bookmarkStart w:id="4" w:name="_Toc365469942"/>
      <w:bookmarkStart w:id="5" w:name="_Toc229316233"/>
      <w:r w:rsidRPr="00A0615C">
        <w:lastRenderedPageBreak/>
        <w:t>Introduction</w:t>
      </w:r>
      <w:bookmarkEnd w:id="3"/>
      <w:bookmarkEnd w:id="4"/>
    </w:p>
    <w:bookmarkEnd w:id="5"/>
    <w:p w:rsidR="002E7878" w:rsidRDefault="002A4DCC" w:rsidP="00A0615C">
      <w:pPr>
        <w:spacing w:line="480" w:lineRule="auto"/>
        <w:ind w:firstLine="720"/>
      </w:pPr>
      <w:r w:rsidRPr="00D432A1">
        <w:t>Online education is becoming increasingly popular among students of all ages, abilities, and</w:t>
      </w:r>
      <w:r w:rsidR="00F8644B">
        <w:t xml:space="preserve"> locations (Allen &amp; Seaman, 2010</w:t>
      </w:r>
      <w:r w:rsidR="00841687">
        <w:t xml:space="preserve">, </w:t>
      </w:r>
      <w:r w:rsidR="001B4FB8">
        <w:t>2013</w:t>
      </w:r>
      <w:r w:rsidRPr="00D432A1">
        <w:t xml:space="preserve">; Armstrong, 2011; Bristow, Shepherd, Humphreys, &amp; Ziebell, 2011; Gaytan, 2009; Park &amp; Choi, 2009).  However, with increased enrollment, the number of students who </w:t>
      </w:r>
      <w:r w:rsidR="00AF66AE">
        <w:t>withdraw</w:t>
      </w:r>
      <w:r w:rsidRPr="00D432A1">
        <w:t xml:space="preserve"> also increases (Scot, Callahan, &amp; Reed, 2008).  </w:t>
      </w:r>
      <w:r w:rsidR="000325B2">
        <w:t>Many</w:t>
      </w:r>
      <w:r w:rsidR="000325B2" w:rsidRPr="00D432A1">
        <w:t xml:space="preserve"> students </w:t>
      </w:r>
      <w:r w:rsidR="002E7878">
        <w:t>withdraw</w:t>
      </w:r>
      <w:r w:rsidR="000325B2" w:rsidRPr="00D432A1">
        <w:t xml:space="preserve"> </w:t>
      </w:r>
      <w:r w:rsidR="001E6B04">
        <w:t xml:space="preserve">from </w:t>
      </w:r>
      <w:r w:rsidR="000325B2">
        <w:t xml:space="preserve">online learning </w:t>
      </w:r>
      <w:r w:rsidR="002E7878">
        <w:t>because of</w:t>
      </w:r>
      <w:r w:rsidR="000325B2" w:rsidRPr="00D432A1">
        <w:t xml:space="preserve"> their low levels of satisfaction and prep</w:t>
      </w:r>
      <w:r w:rsidR="000325B2">
        <w:t xml:space="preserve">aredness (Hsieh &amp; Dwyer, 2009).  </w:t>
      </w:r>
      <w:r w:rsidR="006356F8">
        <w:t>S</w:t>
      </w:r>
      <w:r w:rsidR="002E7878">
        <w:t xml:space="preserve">tudents </w:t>
      </w:r>
      <w:r w:rsidR="000325B2">
        <w:t xml:space="preserve">are </w:t>
      </w:r>
      <w:r w:rsidR="002E7878">
        <w:t xml:space="preserve">often </w:t>
      </w:r>
      <w:r w:rsidR="000325B2">
        <w:t xml:space="preserve">unprepared to adapt their learning habits to meet the </w:t>
      </w:r>
      <w:r w:rsidR="00721797">
        <w:t>demands</w:t>
      </w:r>
      <w:r w:rsidR="000325B2">
        <w:t xml:space="preserve"> of online learning (Hsieh &amp; Dwyer, 2009). </w:t>
      </w:r>
      <w:r w:rsidR="000325B2" w:rsidRPr="00D432A1">
        <w:t xml:space="preserve"> </w:t>
      </w:r>
    </w:p>
    <w:p w:rsidR="002A4DCC" w:rsidRPr="00D432A1" w:rsidRDefault="002A4DCC" w:rsidP="00A0615C">
      <w:pPr>
        <w:spacing w:line="480" w:lineRule="auto"/>
        <w:ind w:firstLine="720"/>
      </w:pPr>
      <w:r w:rsidRPr="00D432A1">
        <w:t xml:space="preserve">Learning style theory is an area </w:t>
      </w:r>
      <w:r w:rsidR="001A1541">
        <w:t xml:space="preserve">in </w:t>
      </w:r>
      <w:r w:rsidRPr="00D432A1">
        <w:t xml:space="preserve">the </w:t>
      </w:r>
      <w:r w:rsidR="00D87D96">
        <w:t>field of education</w:t>
      </w:r>
      <w:r w:rsidRPr="00D432A1">
        <w:t xml:space="preserve"> that includes many definitions, opinions, and </w:t>
      </w:r>
      <w:r>
        <w:t>applications</w:t>
      </w:r>
      <w:r w:rsidR="00D159A4">
        <w:t xml:space="preserve"> </w:t>
      </w:r>
      <w:r w:rsidR="00D159A4" w:rsidRPr="00953C36">
        <w:t>(Bergsteiner, Avery, &amp; Neumann, 2010; Evans</w:t>
      </w:r>
      <w:r w:rsidR="00D159A4">
        <w:t>, Cools, &amp; Charlesworth</w:t>
      </w:r>
      <w:r w:rsidR="00D159A4" w:rsidRPr="00953C36">
        <w:t>, 2010; Ivie, 2009; Kinshuk</w:t>
      </w:r>
      <w:r w:rsidR="00D159A4">
        <w:t>, Lui, &amp; Graf</w:t>
      </w:r>
      <w:r w:rsidR="00D159A4" w:rsidRPr="00953C36">
        <w:t>, 2009; Rakap, 2010; Scales, 2008; Turnbull, 2009).</w:t>
      </w:r>
      <w:r w:rsidR="00D159A4">
        <w:t xml:space="preserve"> </w:t>
      </w:r>
      <w:r>
        <w:t xml:space="preserve"> Many instructors</w:t>
      </w:r>
      <w:r w:rsidRPr="00D432A1">
        <w:t xml:space="preserve"> </w:t>
      </w:r>
      <w:r w:rsidR="00613DF4">
        <w:t>gather information about</w:t>
      </w:r>
      <w:r w:rsidR="00613DF4" w:rsidRPr="00D432A1">
        <w:t xml:space="preserve"> </w:t>
      </w:r>
      <w:r w:rsidR="001A1541">
        <w:t>learning styles</w:t>
      </w:r>
      <w:r w:rsidR="001A1541" w:rsidRPr="00D432A1">
        <w:t xml:space="preserve"> </w:t>
      </w:r>
      <w:r w:rsidRPr="00D432A1">
        <w:t>as a preassessment tool to determine if a student will be successful in the online education environment (Cagiltay, 2008; Milligan &amp; Buckenmeyer, 2008; Park &amp; Choi, 2009).  Other</w:t>
      </w:r>
      <w:r w:rsidR="00613DF4">
        <w:t xml:space="preserve"> instructor</w:t>
      </w:r>
      <w:r w:rsidRPr="00D432A1">
        <w:t xml:space="preserve">s use </w:t>
      </w:r>
      <w:r w:rsidR="00613DF4">
        <w:t xml:space="preserve">a knowledge of </w:t>
      </w:r>
      <w:r w:rsidRPr="00D432A1">
        <w:t xml:space="preserve">learning styles as a </w:t>
      </w:r>
      <w:r w:rsidR="002E7878">
        <w:t>basis for designing</w:t>
      </w:r>
      <w:r w:rsidRPr="00D432A1">
        <w:t xml:space="preserve"> the curriculum and content of a course (Cagiltay, 2008; Featro, 2011; Graf, Kinshuk, &amp; Lui, 2009; van Rensburg, 2009).  </w:t>
      </w:r>
      <w:r w:rsidR="0002330F">
        <w:t>This study was designed to meet the need to understand</w:t>
      </w:r>
      <w:r w:rsidR="002E7878">
        <w:t xml:space="preserve"> the ways in which </w:t>
      </w:r>
      <w:r w:rsidRPr="00D432A1">
        <w:t xml:space="preserve">students </w:t>
      </w:r>
      <w:r w:rsidR="0002330F">
        <w:t>incorporated</w:t>
      </w:r>
      <w:r w:rsidR="0002330F" w:rsidRPr="00D432A1">
        <w:t xml:space="preserve"> </w:t>
      </w:r>
      <w:r w:rsidRPr="00D432A1">
        <w:t xml:space="preserve">information about their learning styles </w:t>
      </w:r>
      <w:r w:rsidR="0002330F">
        <w:t>in describing</w:t>
      </w:r>
      <w:r w:rsidRPr="00D432A1">
        <w:t xml:space="preserve"> their perceptions of</w:t>
      </w:r>
      <w:r>
        <w:t xml:space="preserve"> online learning</w:t>
      </w:r>
      <w:r w:rsidRPr="00D432A1">
        <w:t xml:space="preserve"> and </w:t>
      </w:r>
      <w:r w:rsidR="0002330F">
        <w:t>their own level</w:t>
      </w:r>
      <w:r w:rsidRPr="00D432A1">
        <w:t xml:space="preserve"> of preparedness</w:t>
      </w:r>
      <w:r w:rsidR="0002330F">
        <w:t xml:space="preserve"> for an online program</w:t>
      </w:r>
      <w:r w:rsidRPr="00D432A1">
        <w:t xml:space="preserve">.  </w:t>
      </w:r>
      <w:r w:rsidR="0002330F">
        <w:t>U</w:t>
      </w:r>
      <w:r w:rsidR="009D3196" w:rsidRPr="00D432A1">
        <w:t>nderstand</w:t>
      </w:r>
      <w:r w:rsidR="0002330F">
        <w:t>ing</w:t>
      </w:r>
      <w:r w:rsidR="009D3196" w:rsidRPr="00D432A1">
        <w:t xml:space="preserve"> the perceptions of the students </w:t>
      </w:r>
      <w:r w:rsidR="0002330F">
        <w:t xml:space="preserve">enrolled in </w:t>
      </w:r>
      <w:r w:rsidR="009D3196" w:rsidRPr="00D432A1">
        <w:t xml:space="preserve">online courses </w:t>
      </w:r>
      <w:r w:rsidR="0002330F">
        <w:t xml:space="preserve">may improve retention rates </w:t>
      </w:r>
      <w:r w:rsidR="009D3196" w:rsidRPr="00D432A1">
        <w:t>(Dobbs, Waid, &amp; Del Carmen, 2009</w:t>
      </w:r>
      <w:r w:rsidR="0002330F">
        <w:t>).</w:t>
      </w:r>
    </w:p>
    <w:p w:rsidR="001163CE" w:rsidRPr="00EA1AF2" w:rsidRDefault="004B0CD0" w:rsidP="00C74EFE">
      <w:pPr>
        <w:pStyle w:val="Heading2"/>
      </w:pPr>
      <w:bookmarkStart w:id="6" w:name="_Toc365469945"/>
      <w:r w:rsidRPr="00EA1AF2">
        <w:rPr>
          <w:rStyle w:val="header223levelsAPACarattereCarattere"/>
          <w:rFonts w:ascii="Times New Roman" w:hAnsi="Times New Roman" w:cs="Times New Roman"/>
          <w:i w:val="0"/>
        </w:rPr>
        <w:lastRenderedPageBreak/>
        <w:t>Purpose of the Study</w:t>
      </w:r>
      <w:bookmarkEnd w:id="6"/>
      <w:r w:rsidRPr="00EA1AF2">
        <w:t xml:space="preserve"> </w:t>
      </w:r>
    </w:p>
    <w:p w:rsidR="002A4DCC" w:rsidRPr="00D432A1" w:rsidRDefault="002A4DCC" w:rsidP="002A4DCC">
      <w:pPr>
        <w:spacing w:line="480" w:lineRule="auto"/>
        <w:ind w:firstLine="720"/>
      </w:pPr>
      <w:r w:rsidRPr="00D432A1">
        <w:t xml:space="preserve">The purpose of this </w:t>
      </w:r>
      <w:r w:rsidR="00FC7E90" w:rsidRPr="00FC7E90">
        <w:t xml:space="preserve">qualitative, </w:t>
      </w:r>
      <w:r w:rsidR="006E29EA">
        <w:t xml:space="preserve">exploratory, </w:t>
      </w:r>
      <w:r w:rsidR="00FC7E90" w:rsidRPr="00FC7E90">
        <w:t xml:space="preserve">single-case </w:t>
      </w:r>
      <w:r w:rsidR="00BD3047">
        <w:t xml:space="preserve">study </w:t>
      </w:r>
      <w:r w:rsidR="000325B2" w:rsidRPr="00BD3047">
        <w:t>was to</w:t>
      </w:r>
      <w:r w:rsidRPr="00BD3047">
        <w:t xml:space="preserve"> </w:t>
      </w:r>
      <w:r w:rsidR="006E29EA">
        <w:t>discover</w:t>
      </w:r>
      <w:r w:rsidR="006E29EA" w:rsidRPr="00BD3047">
        <w:t xml:space="preserve"> </w:t>
      </w:r>
      <w:r w:rsidRPr="00BD3047">
        <w:t>ho</w:t>
      </w:r>
      <w:r w:rsidRPr="00D432A1">
        <w:t>w students incorporate</w:t>
      </w:r>
      <w:r w:rsidR="004953D1">
        <w:t>d</w:t>
      </w:r>
      <w:r w:rsidRPr="00D432A1">
        <w:t xml:space="preserve"> knowledge about their personal learning preferences into their perceptions of preparedness in the online college classroom</w:t>
      </w:r>
      <w:r w:rsidR="00EA4B33">
        <w:t xml:space="preserve"> and of online learning in general</w:t>
      </w:r>
      <w:r w:rsidRPr="00D432A1">
        <w:t xml:space="preserve">.  </w:t>
      </w:r>
      <w:r w:rsidR="00BD3047">
        <w:t xml:space="preserve">A phenomenological approach was used.  </w:t>
      </w:r>
      <w:r w:rsidR="00DF0C09">
        <w:t xml:space="preserve">Participants included a purposeful sample of 14 </w:t>
      </w:r>
      <w:r w:rsidR="00241697">
        <w:t xml:space="preserve">first time </w:t>
      </w:r>
      <w:r w:rsidR="00DF0C09">
        <w:t>students enrolled i</w:t>
      </w:r>
      <w:r w:rsidR="00DF0C09" w:rsidRPr="00D432A1">
        <w:t xml:space="preserve">n their first or second course in </w:t>
      </w:r>
      <w:r w:rsidR="00DF0C09">
        <w:t>an</w:t>
      </w:r>
      <w:r w:rsidR="00DF0C09" w:rsidRPr="00D432A1">
        <w:t xml:space="preserve"> online degree program</w:t>
      </w:r>
      <w:r w:rsidR="00D27A5F">
        <w:t xml:space="preserve"> </w:t>
      </w:r>
      <w:r w:rsidR="00585C73" w:rsidRPr="0094352B">
        <w:t>within a traditional university in the U. S. Midwest</w:t>
      </w:r>
      <w:r w:rsidR="00DF0C09">
        <w:t xml:space="preserve">.  </w:t>
      </w:r>
      <w:r w:rsidRPr="00D432A1">
        <w:t xml:space="preserve">The unit of analysis </w:t>
      </w:r>
      <w:r w:rsidR="000325B2">
        <w:t>was</w:t>
      </w:r>
      <w:r w:rsidRPr="00D432A1">
        <w:t xml:space="preserve"> </w:t>
      </w:r>
      <w:r w:rsidR="00DF0C09">
        <w:t>an individual student</w:t>
      </w:r>
      <w:r w:rsidRPr="00D432A1">
        <w:t xml:space="preserve">.  </w:t>
      </w:r>
      <w:r w:rsidR="00517792">
        <w:t>Initially, p</w:t>
      </w:r>
      <w:r w:rsidR="00517792" w:rsidRPr="00D432A1">
        <w:t xml:space="preserve">articipants </w:t>
      </w:r>
      <w:r w:rsidR="00517792">
        <w:t xml:space="preserve">completed </w:t>
      </w:r>
      <w:r w:rsidR="00517792" w:rsidRPr="00D432A1">
        <w:t>the Index of Learning Styles (ILS</w:t>
      </w:r>
      <w:r w:rsidR="00517792">
        <w:t xml:space="preserve">; </w:t>
      </w:r>
      <w:r w:rsidR="00517792" w:rsidRPr="00E06E7C">
        <w:rPr>
          <w:rFonts w:cs="Times New Roman"/>
        </w:rPr>
        <w:t>Felder &amp; Spurlin, 2005</w:t>
      </w:r>
      <w:r w:rsidR="00D562DA">
        <w:rPr>
          <w:rFonts w:cs="Times New Roman"/>
        </w:rPr>
        <w:t>; see Appendix A</w:t>
      </w:r>
      <w:r w:rsidR="00517792" w:rsidRPr="00D432A1">
        <w:t>)</w:t>
      </w:r>
      <w:r w:rsidR="00517792">
        <w:t xml:space="preserve">, a questionnaire developed to </w:t>
      </w:r>
      <w:r w:rsidR="00517792" w:rsidRPr="00D432A1">
        <w:t>measure learning styles as defined by Felder</w:t>
      </w:r>
      <w:r w:rsidR="00260DC6">
        <w:t xml:space="preserve"> and </w:t>
      </w:r>
      <w:r w:rsidR="00517792" w:rsidRPr="00D432A1">
        <w:t>Silverman (1988).</w:t>
      </w:r>
      <w:r w:rsidR="00517792">
        <w:t xml:space="preserve"> </w:t>
      </w:r>
      <w:r w:rsidR="009F7124">
        <w:t xml:space="preserve"> In the ILS, learning styles were represented dichotomously (active vs. reflective, sensing vs. intuitive, visual vs. verbal, and sequential vs. global).  </w:t>
      </w:r>
      <w:r w:rsidR="00517792">
        <w:t xml:space="preserve">Participants were informed of the </w:t>
      </w:r>
      <w:r w:rsidR="00D562DA">
        <w:t>learning style indicated in the results of their individual assessment.  E</w:t>
      </w:r>
      <w:r w:rsidR="00517792">
        <w:t>ach participant</w:t>
      </w:r>
      <w:r w:rsidR="00517792" w:rsidRPr="00D432A1">
        <w:t xml:space="preserve"> </w:t>
      </w:r>
      <w:r w:rsidR="00D562DA">
        <w:t xml:space="preserve">then </w:t>
      </w:r>
      <w:r w:rsidR="00517792">
        <w:t>completed diary entries about their initial perceptions and thoughts</w:t>
      </w:r>
      <w:r w:rsidR="0019725B">
        <w:t xml:space="preserve"> </w:t>
      </w:r>
      <w:r w:rsidR="0019725B" w:rsidRPr="00D432A1">
        <w:t xml:space="preserve">regarding online education and their preparedness to learn in an </w:t>
      </w:r>
      <w:r w:rsidR="0019725B">
        <w:t>electronic classroom</w:t>
      </w:r>
      <w:r w:rsidR="00D562DA">
        <w:t>.  A diary prompt was used (see Appendix B).</w:t>
      </w:r>
      <w:r w:rsidR="00517792">
        <w:t xml:space="preserve"> </w:t>
      </w:r>
      <w:r w:rsidR="00D562DA">
        <w:t xml:space="preserve"> </w:t>
      </w:r>
      <w:r w:rsidR="006A3ADE">
        <w:rPr>
          <w:rFonts w:cs="Times New Roman"/>
        </w:rPr>
        <w:t xml:space="preserve">Time was then allowed for students to consider their results and complete </w:t>
      </w:r>
      <w:r w:rsidR="008249BF">
        <w:rPr>
          <w:rFonts w:cs="Times New Roman"/>
        </w:rPr>
        <w:t xml:space="preserve">approximately </w:t>
      </w:r>
      <w:r w:rsidR="00CB363B">
        <w:rPr>
          <w:rFonts w:cs="Times New Roman"/>
        </w:rPr>
        <w:t xml:space="preserve">a </w:t>
      </w:r>
      <w:r w:rsidR="00346872">
        <w:rPr>
          <w:rFonts w:cs="Times New Roman"/>
        </w:rPr>
        <w:t>week</w:t>
      </w:r>
      <w:r w:rsidR="00CB363B">
        <w:rPr>
          <w:rFonts w:cs="Times New Roman"/>
        </w:rPr>
        <w:t xml:space="preserve"> of </w:t>
      </w:r>
      <w:r w:rsidR="006A3ADE">
        <w:rPr>
          <w:rFonts w:cs="Times New Roman"/>
        </w:rPr>
        <w:t>work in their classes, after which they completed another diary entry.  O</w:t>
      </w:r>
      <w:r w:rsidR="00D562DA">
        <w:t xml:space="preserve">pen-ended, </w:t>
      </w:r>
      <w:r w:rsidR="00CB363B">
        <w:t>semistructured</w:t>
      </w:r>
      <w:r w:rsidR="00517792" w:rsidRPr="00D432A1">
        <w:t xml:space="preserve"> telephone interviews</w:t>
      </w:r>
      <w:r w:rsidR="008D20CD">
        <w:t xml:space="preserve"> were then conducted, with an Interview Guide used (see Appendix C)</w:t>
      </w:r>
      <w:r w:rsidR="00CB363B">
        <w:t>.  Participants</w:t>
      </w:r>
      <w:r w:rsidR="00DF0C09">
        <w:t xml:space="preserve"> were </w:t>
      </w:r>
      <w:r w:rsidR="0019725B">
        <w:t xml:space="preserve">again </w:t>
      </w:r>
      <w:r w:rsidR="00DF0C09">
        <w:t>asked about their</w:t>
      </w:r>
      <w:r>
        <w:t xml:space="preserve"> </w:t>
      </w:r>
      <w:r w:rsidRPr="00D432A1">
        <w:t xml:space="preserve">perceptions regarding online education and their preparedness to learn in an </w:t>
      </w:r>
      <w:r w:rsidR="00D87D96">
        <w:t>electronic classroom</w:t>
      </w:r>
      <w:r w:rsidRPr="00D432A1">
        <w:t xml:space="preserve">.  </w:t>
      </w:r>
    </w:p>
    <w:p w:rsidR="00C75411" w:rsidRPr="002F1976" w:rsidRDefault="00C75411" w:rsidP="00640AEA">
      <w:pPr>
        <w:pStyle w:val="Heading1"/>
      </w:pPr>
      <w:bookmarkStart w:id="7" w:name="_Toc365469951"/>
      <w:r w:rsidRPr="002F1976">
        <w:lastRenderedPageBreak/>
        <w:t>Literature Review</w:t>
      </w:r>
      <w:bookmarkEnd w:id="7"/>
    </w:p>
    <w:p w:rsidR="00D1005D" w:rsidRPr="00EA1AF2" w:rsidRDefault="00D1005D" w:rsidP="00C74EFE">
      <w:pPr>
        <w:pStyle w:val="Heading2"/>
      </w:pPr>
      <w:bookmarkStart w:id="8" w:name="_Toc365469953"/>
      <w:r>
        <w:t>Metacognition and Self-</w:t>
      </w:r>
      <w:r w:rsidR="008F31A5">
        <w:t>knowledge</w:t>
      </w:r>
      <w:bookmarkEnd w:id="8"/>
    </w:p>
    <w:p w:rsidR="0048162E" w:rsidRDefault="00F14BE9" w:rsidP="00D1005D">
      <w:pPr>
        <w:spacing w:line="480" w:lineRule="auto"/>
        <w:ind w:firstLine="720"/>
      </w:pPr>
      <w:r>
        <w:t>Theories</w:t>
      </w:r>
      <w:r w:rsidR="00D1005D">
        <w:t xml:space="preserve"> of metacognition</w:t>
      </w:r>
      <w:r>
        <w:t xml:space="preserve"> are</w:t>
      </w:r>
      <w:r w:rsidR="00D1005D">
        <w:t xml:space="preserve"> applicable to the understanding of one’s learning styles. </w:t>
      </w:r>
      <w:r w:rsidR="006C5474">
        <w:t xml:space="preserve"> </w:t>
      </w:r>
      <w:r w:rsidR="00D1005D">
        <w:t xml:space="preserve">Flavell, who first used the term ‘metacognition’, defined it as the use of monitoring and understanding of one’s own cognitive processes (Zulkiply, Kabit, &amp; Ghani, 2008).  It is the knowledge and understanding that one has of </w:t>
      </w:r>
      <w:r w:rsidR="006C5474">
        <w:t>him</w:t>
      </w:r>
      <w:r w:rsidR="00D1005D">
        <w:t xml:space="preserve"> or </w:t>
      </w:r>
      <w:r w:rsidR="006C5474">
        <w:t>herself</w:t>
      </w:r>
      <w:r w:rsidR="00D1005D">
        <w:t xml:space="preserve"> as a learner and of learning</w:t>
      </w:r>
      <w:r w:rsidR="001851D2">
        <w:t xml:space="preserve"> (</w:t>
      </w:r>
      <w:r>
        <w:t xml:space="preserve">Ndidiamaka, 2010; Pimentel &amp; Mackenzie, 2008; </w:t>
      </w:r>
      <w:r w:rsidR="001851D2">
        <w:t>Sch</w:t>
      </w:r>
      <w:r w:rsidR="008C27E4">
        <w:t xml:space="preserve">raw &amp; Dennison, 1994; Zulkiply et al., </w:t>
      </w:r>
      <w:r w:rsidR="001851D2">
        <w:t>2008)</w:t>
      </w:r>
      <w:r w:rsidR="00D1005D">
        <w:t xml:space="preserve">.  </w:t>
      </w:r>
      <w:r w:rsidR="008F31A5">
        <w:t>This higher-order mental process enables students to control their own learning process (</w:t>
      </w:r>
      <w:r w:rsidR="00ED4A91">
        <w:t xml:space="preserve">Heidari &amp; Bahrami, 2012; </w:t>
      </w:r>
      <w:r w:rsidR="008F31A5">
        <w:t>Vukman, 2012)</w:t>
      </w:r>
      <w:r w:rsidR="001851D2">
        <w:t>, assess their learning, and use strategies to correct errors in their comprehension (Schraw &amp; Dennison, 1994)</w:t>
      </w:r>
      <w:r w:rsidR="008F31A5">
        <w:t xml:space="preserve">.  </w:t>
      </w:r>
      <w:r>
        <w:t>Students who are aware of their cognitive abilities can adapt their learning methods as necessary (Huff &amp; Nietfield, 2009).</w:t>
      </w:r>
      <w:r w:rsidR="0048162E">
        <w:t xml:space="preserve">  In their study, Khonamri and Kojidi (2011) found that there is a connection between metacognitive awareness and comprehension monitoring.  Their participants were English Language Learners.  Their results were that the more metacognitive awareness the participants had of reading strategies, the more comprehension </w:t>
      </w:r>
      <w:r w:rsidR="008C27E4">
        <w:t>monitoring the</w:t>
      </w:r>
      <w:r w:rsidR="0048162E">
        <w:t xml:space="preserve"> participants did</w:t>
      </w:r>
      <w:r w:rsidR="008C27E4">
        <w:t xml:space="preserve"> (Khonamri &amp; Kojidi, 2011)</w:t>
      </w:r>
      <w:r w:rsidR="0048162E">
        <w:t xml:space="preserve">. </w:t>
      </w:r>
    </w:p>
    <w:p w:rsidR="00D1005D" w:rsidRDefault="00D1005D" w:rsidP="00D1005D">
      <w:pPr>
        <w:spacing w:line="480" w:lineRule="auto"/>
        <w:ind w:firstLine="720"/>
      </w:pPr>
      <w:r>
        <w:t xml:space="preserve">Flavell (1979) broke the theory of metacognition into </w:t>
      </w:r>
      <w:r w:rsidR="00C95260">
        <w:t>two dimensions</w:t>
      </w:r>
      <w:r w:rsidR="0084342A">
        <w:t>,</w:t>
      </w:r>
      <w:r>
        <w:t xml:space="preserve"> which </w:t>
      </w:r>
      <w:r w:rsidR="00C95260">
        <w:t>include metacognitive knowledge and</w:t>
      </w:r>
      <w:r>
        <w:t xml:space="preserve"> metacognitive experiences</w:t>
      </w:r>
      <w:r w:rsidR="00C95260">
        <w:t xml:space="preserve"> or regulation.</w:t>
      </w:r>
      <w:r>
        <w:t xml:space="preserve">  </w:t>
      </w:r>
      <w:r w:rsidR="008C27E4">
        <w:t>He then broke knowledge</w:t>
      </w:r>
      <w:r>
        <w:t xml:space="preserve"> down into three categories that include person variables, task variables, and strategy variables (Flavell, 1979).  The person variables category of metacognition includes the knowledge that an individual has about his or her own learning.  This knowledge includes beliefs about the person as a learner, the belief that he or she may </w:t>
      </w:r>
      <w:r>
        <w:lastRenderedPageBreak/>
        <w:t>learn more effectively using one learning style rather than another, and what the learner believes about how others lear</w:t>
      </w:r>
      <w:r w:rsidR="00C06A57">
        <w:t>n information (Flavell, 1979).  Baker &amp;</w:t>
      </w:r>
      <w:r w:rsidR="00C95260">
        <w:t xml:space="preserve"> Brown (1984) later supported Flavell’s categories by setting their own categories of</w:t>
      </w:r>
      <w:r w:rsidR="00C06A57">
        <w:t xml:space="preserve"> knowledge about cognition and self-</w:t>
      </w:r>
      <w:r w:rsidR="00C95260">
        <w:t>regulation</w:t>
      </w:r>
      <w:r w:rsidR="00C06A57">
        <w:t xml:space="preserve">. </w:t>
      </w:r>
    </w:p>
    <w:p w:rsidR="00D1005D" w:rsidRDefault="00D1005D" w:rsidP="00D1005D">
      <w:pPr>
        <w:spacing w:line="480" w:lineRule="auto"/>
        <w:ind w:firstLine="720"/>
      </w:pPr>
      <w:r>
        <w:t>The theory of metacognition and person variables centers on the theory of self-knowl</w:t>
      </w:r>
      <w:r w:rsidR="008F31A5">
        <w:t>edge</w:t>
      </w:r>
      <w:r>
        <w:t>.  Self-knowledge includes knowing one’s strengths and weaknesses (Pintrich, 2002).  By being aware of personal preference with learning strategies, students can avoid relying on only one method and find a more appropriate method for the material (Pintrich, 2002).  The accuracy of this self-knowledge is important.  Students need to have an accurate perception of their knowledge, strengths, and weaknesses in order to correctly apply them and learn (</w:t>
      </w:r>
      <w:r w:rsidR="008F31A5">
        <w:t xml:space="preserve">Chiu &amp; Kuo, 2010; </w:t>
      </w:r>
      <w:r>
        <w:t xml:space="preserve">Pintrich, 2002).  Metacognitive knowledge is linked to success in the classroom; students who are aware of different learning strategies are more likely to use them than students who are not metacognitively aware (Pintrich, 2002).  </w:t>
      </w:r>
      <w:r w:rsidR="00F14BE9">
        <w:t xml:space="preserve">Additionally, students who have metacognitive awareness are better able to reflect on their learning and performance (Kruger &amp; Dunning, 1999).  In their study, students with poor cognitive abilities estimated they performed better than their peers and were less able to identify areas of an assessment where they answered incorrectly (Kruger &amp; Dunning, 1999).  However, students with stronger cognitive abilities more closely assessed their performance on assessments and could identify questions on the assessment they answered incorrectly (Kruger &amp; Dunning, 1999).  </w:t>
      </w:r>
      <w:r>
        <w:t xml:space="preserve">A lack of self-knowledge can hinder a student’s success in learning and in </w:t>
      </w:r>
      <w:r w:rsidR="00F14BE9">
        <w:t>the classroom.  Pintrich (2002)</w:t>
      </w:r>
      <w:r>
        <w:t xml:space="preserve"> provides an example of a student who knows that she does not understand mathematical material well when reading about it in the text.  Knowing this, the student </w:t>
      </w:r>
      <w:r>
        <w:lastRenderedPageBreak/>
        <w:t xml:space="preserve">can apply other learning methods when learning the material to strengthen her understanding of the concepts (Pintrich, 2002).  This is also an example of how metacognition helps students self-scaffold to solve problems through </w:t>
      </w:r>
      <w:r w:rsidR="008C27E4">
        <w:t>setting goals</w:t>
      </w:r>
      <w:r>
        <w:t>, organizing resources, evaluating informati</w:t>
      </w:r>
      <w:r w:rsidR="00AA0D94">
        <w:t>on, and retain</w:t>
      </w:r>
      <w:r>
        <w:t xml:space="preserve">ing information (Chiu &amp; Kuo, 2010). </w:t>
      </w:r>
    </w:p>
    <w:p w:rsidR="00D1005D" w:rsidRPr="00D432A1" w:rsidRDefault="00D1005D" w:rsidP="00D1005D">
      <w:pPr>
        <w:spacing w:line="480" w:lineRule="auto"/>
        <w:ind w:firstLine="720"/>
      </w:pPr>
      <w:r>
        <w:t>Metacognition has been defined in many different ways (</w:t>
      </w:r>
      <w:r w:rsidR="00C06A57">
        <w:t xml:space="preserve">Baker &amp; Brown, 1984; </w:t>
      </w:r>
      <w:r>
        <w:t xml:space="preserve">Flavell, 1981).  Because the theory is used in many disciplines, including cognitive psychology, developmental psychology, and education, it has been examined from multiple perspectives, contributing to the differing definitions (Rahman &amp; Masrur, 2011).  While many researchers agree that metacognition refers to knowledge and control of thinking processes, the details they include define it slightly differently for each use. Some define it by using knowledge, skill, and experience (Hacker, 1998); some take the definition further to include that it is about present thinking processes and having </w:t>
      </w:r>
      <w:r w:rsidR="008F31A5">
        <w:t>the knowledge of those processes</w:t>
      </w:r>
      <w:r>
        <w:t xml:space="preserve"> (Pressley, 1995).  Still others define it as knowledge and regulation of cognition (Nelson &amp; Narens, 1992).  Alt</w:t>
      </w:r>
      <w:r w:rsidR="008F31A5">
        <w:t>hough researchers from a range</w:t>
      </w:r>
      <w:r>
        <w:t xml:space="preserve"> disciplines define the theory differently, they agree to divide it to include metacognitive knowledge and metacognitive regulation and control (Rahman &amp; Masrur, 2011).</w:t>
      </w:r>
    </w:p>
    <w:p w:rsidR="00DF738C" w:rsidRPr="00EA1AF2" w:rsidRDefault="0090485B" w:rsidP="00C74EFE">
      <w:pPr>
        <w:pStyle w:val="Heading2"/>
      </w:pPr>
      <w:bookmarkStart w:id="9" w:name="_Toc365469957"/>
      <w:r>
        <w:t>Awareness of Learning Style Benefits</w:t>
      </w:r>
      <w:bookmarkEnd w:id="9"/>
    </w:p>
    <w:p w:rsidR="00D61720" w:rsidRPr="00D432A1" w:rsidRDefault="00D61720" w:rsidP="00D61720">
      <w:pPr>
        <w:spacing w:line="480" w:lineRule="auto"/>
        <w:ind w:firstLine="720"/>
      </w:pPr>
      <w:r w:rsidRPr="00D432A1">
        <w:t xml:space="preserve">There are many benefits in being aware of and using learning styles in the educational setting.  Teaching students about their learning style preferences and how to manage those preferences is critical to their scholastic achievement (Moallem, 2007).  Additionally, as discussed by Scales (2008), learning styles are most valuable when used as a tool for the student and their self-development, rather than used as a way to </w:t>
      </w:r>
      <w:r w:rsidRPr="00D432A1">
        <w:lastRenderedPageBreak/>
        <w:t xml:space="preserve">categorize students, as most current researchers do.  Students should not only be shown what their learning style is, but also how to enhance that style and, </w:t>
      </w:r>
      <w:r w:rsidR="008C27E4">
        <w:t>as a result</w:t>
      </w:r>
      <w:r w:rsidRPr="00D432A1">
        <w:t xml:space="preserve">, their learning (Scales, 2008).  In addition, by understanding personal preferences with learning styles, students can learn with increased motivation by using their strengths and strengthening their weaknesses (Bishka, 2010; Gantasala &amp; Gantasala, 2009; Rakap, 2010).  This also allows students to understand learning methods and to select the most appropriate one for their learning (Evans et al., 2010).  This is vital for the growth of the learner (Evans et al., 2010).  </w:t>
      </w:r>
    </w:p>
    <w:p w:rsidR="00D61720" w:rsidRPr="00D432A1" w:rsidRDefault="00D61720" w:rsidP="00D61720">
      <w:pPr>
        <w:spacing w:line="480" w:lineRule="auto"/>
        <w:ind w:firstLine="720"/>
      </w:pPr>
      <w:r w:rsidRPr="00D432A1">
        <w:t xml:space="preserve"> Students do learn differently from one another (Naimie et al., 2010).  Studies have shown that performance in different subjects is related to learning style preferences (Naimie et al., 2010).  It is most useful when students identify their learning preferences at the beginning of their education (Guven &amp; Ozbek, 2007), although it is not clear whether students incorporate and use this knowledge immediately after learning or after some time.  When students understand their preferences, they are better prepared to use a variety of techniques to strengthen their learning (Romanelli et al., 2009).  Additionally, when educators and students are aware that students learn differently, they can use methods to help students understand material differently and to make learning more effective (Kinshuk et al., 2009; Moallem, 2007).   </w:t>
      </w:r>
    </w:p>
    <w:p w:rsidR="00D61720" w:rsidRPr="00D432A1" w:rsidRDefault="00D61720" w:rsidP="00D61720">
      <w:pPr>
        <w:spacing w:line="480" w:lineRule="auto"/>
        <w:ind w:firstLine="720"/>
      </w:pPr>
      <w:r w:rsidRPr="00D432A1">
        <w:t xml:space="preserve">Battalio (2009) found that learning styles are associated with student success.  Using data from 120 participants, the researcher found that learning styles might also be a factor that influences student participation and attitudes about online learning (Battalio, 2009).  The researcher analyzed the data from many perspectives, both on a </w:t>
      </w:r>
      <w:r w:rsidR="005A3D0C" w:rsidRPr="00D432A1">
        <w:t>dimension-by-dimension</w:t>
      </w:r>
      <w:r w:rsidRPr="00D432A1">
        <w:t xml:space="preserve"> basis, as a group of dimensions, and in comparison with quiz grades.  </w:t>
      </w:r>
      <w:r w:rsidRPr="00D432A1">
        <w:lastRenderedPageBreak/>
        <w:t xml:space="preserve">While the participants were located at the same university, they were enrolled in one of nine courses.  </w:t>
      </w:r>
    </w:p>
    <w:p w:rsidR="00DF738C" w:rsidRDefault="00D61720" w:rsidP="00D61720">
      <w:pPr>
        <w:spacing w:line="480" w:lineRule="auto"/>
        <w:ind w:firstLine="720"/>
      </w:pPr>
      <w:r w:rsidRPr="00D432A1">
        <w:t xml:space="preserve">At the conclusion of their study, Zapalska and Brozik (2006) determined that teachers should use learning style assessments and provide their students with the results of their learning styles.  By sharing this information, students are better able to take control of their learning to become active participants in their education (Zapalska &amp; Brozik, 2006).  The focus of their study was to show that learning styles should be considered when designing a course (Zapalska &amp; Brozik, 2006).  They furthered these findings with the data that was collected from participants who were enrolled in the same class at a university.  </w:t>
      </w:r>
      <w:r w:rsidRPr="00D432A1">
        <w:rPr>
          <w:color w:val="000000"/>
        </w:rPr>
        <w:t xml:space="preserve">In a study performed by Morris and Ozkan (2006), the researchers used the ILS and a self-developed questionnaire that focused on online learning.  The researchers then used the information to examine strategies that can lead to student success in the online classroom.  Sixty-four students participated in the study.  The researchers found that by encouraging students to learn their preference and expand their methods for studying and learning, they </w:t>
      </w:r>
      <w:r w:rsidR="005A3D0C" w:rsidRPr="00D432A1">
        <w:rPr>
          <w:color w:val="000000"/>
        </w:rPr>
        <w:t>could</w:t>
      </w:r>
      <w:r w:rsidRPr="00D432A1">
        <w:rPr>
          <w:color w:val="000000"/>
        </w:rPr>
        <w:t xml:space="preserve"> become more effective learners (Morris &amp; Ozkan, 2006)</w:t>
      </w:r>
      <w:r>
        <w:rPr>
          <w:color w:val="000000"/>
        </w:rPr>
        <w:t>.</w:t>
      </w:r>
      <w:r w:rsidRPr="00D432A1">
        <w:rPr>
          <w:color w:val="000000"/>
        </w:rPr>
        <w:t xml:space="preserve">  </w:t>
      </w:r>
      <w:r w:rsidRPr="00D432A1">
        <w:t xml:space="preserve">Teachers should also ensure that they are using multiple styles in their classrooms to help students become more proficient in all styles, not just consistently </w:t>
      </w:r>
      <w:r w:rsidR="008C27E4">
        <w:t xml:space="preserve">teaching </w:t>
      </w:r>
      <w:r w:rsidRPr="00D432A1">
        <w:t xml:space="preserve">using their preferred style (Morris and Ozkan, 2006).  The results of this study correspond with the findings of others who stated that when students are taught in methods that do not match their learning style, it could be difficult for them to learn the material (Zapalska &amp; Brozik, 2006).  </w:t>
      </w:r>
      <w:r w:rsidR="00D161D8">
        <w:t>It is</w:t>
      </w:r>
      <w:r w:rsidRPr="00D432A1">
        <w:t xml:space="preserve"> important to teach students about thei</w:t>
      </w:r>
      <w:r w:rsidR="00D161D8">
        <w:t>r own styles; teachers cannot teach</w:t>
      </w:r>
      <w:r w:rsidRPr="00D432A1">
        <w:t xml:space="preserve"> in every style</w:t>
      </w:r>
      <w:r w:rsidR="00D161D8">
        <w:t xml:space="preserve"> at all times</w:t>
      </w:r>
      <w:r w:rsidRPr="00D432A1">
        <w:t xml:space="preserve">.  When students are taught using different styles other than </w:t>
      </w:r>
      <w:r w:rsidR="00D161D8">
        <w:t>the one they prefer</w:t>
      </w:r>
      <w:r w:rsidRPr="00D432A1">
        <w:t xml:space="preserve">, this can help them learn to adapt (Kinshuk </w:t>
      </w:r>
      <w:r w:rsidRPr="00D432A1">
        <w:lastRenderedPageBreak/>
        <w:t xml:space="preserve">et al., 2009).  When they are aware of their styles, they can purposefully adapt to expand their learning abilities to better understand in environments that do not match their preferences (Naimie et al., 2010).  This is </w:t>
      </w:r>
      <w:r w:rsidR="008C27E4">
        <w:t>important</w:t>
      </w:r>
      <w:r w:rsidRPr="00D432A1">
        <w:t xml:space="preserve"> for students because it will help them prepare for classes where the instructor does not teach to multiple styles and for other life skills that </w:t>
      </w:r>
      <w:r w:rsidR="008C27E4">
        <w:t xml:space="preserve">are not adaptable </w:t>
      </w:r>
      <w:r w:rsidRPr="00D432A1">
        <w:t>to preferences (Kinshuk et al., 2009).  This can lead to improvements with learning and performance of students in a classroom as well as help students to expand beyond their preferences (Guven &amp; Ozbek, 2007; Hawk &amp; Shah, 2007). Teaching students to adapt in their learning style can affect them beyond their educational career as well due to the demand of flexibility in many careers (Moallem, 2007).</w:t>
      </w:r>
    </w:p>
    <w:p w:rsidR="00DF738C" w:rsidRPr="00EA1AF2" w:rsidRDefault="00D61720" w:rsidP="00C74EFE">
      <w:pPr>
        <w:pStyle w:val="Heading2"/>
      </w:pPr>
      <w:bookmarkStart w:id="10" w:name="_Toc365469963"/>
      <w:r>
        <w:t>Student Awareness</w:t>
      </w:r>
      <w:bookmarkEnd w:id="10"/>
    </w:p>
    <w:p w:rsidR="00D61720" w:rsidRPr="00EB7C52" w:rsidRDefault="00D61720" w:rsidP="00D61720">
      <w:pPr>
        <w:spacing w:line="480" w:lineRule="auto"/>
        <w:ind w:firstLine="720"/>
        <w:rPr>
          <w:color w:val="4F81BD"/>
        </w:rPr>
      </w:pPr>
      <w:r w:rsidRPr="006D0B41">
        <w:t xml:space="preserve">With the growing number of methods for how students can earn a degree, students must learn to make effective choices with regard to their learning and how they learn (Evans et al., 2010).  Helping students become aware of their learning preferences can help them identify their strengths and weaknesses, which can aid them in enhancing their skills and their ability to self-regulate (Graf et al., 2009; Vonderwell &amp; Savery, 2004).  This can also help students to understand why they may have had difficulty with learning material in the past (Graf et al., 2009) and provide them with the critical ability to self-manage their learning (Pillay et al., 2007).  In a study of onsite students conducted by Cagiltay (2008), to determine whether knowing their own learning styles is helpful to students, it was concluded that students should know their learning preferences in order to be able to adapt in the classroom to meet their personal learning needs.  This awareness and adaptability was determined to lead to greater success in the classroom for </w:t>
      </w:r>
      <w:r w:rsidRPr="006D0B41">
        <w:lastRenderedPageBreak/>
        <w:t xml:space="preserve">learners, regardless of their learning preference (Cagiltay, 2008).  According to van Rensburg (2009), students’ needs are met when they are taught how to learn and when their personal preferences are viewed as acceptable differences.  This can help students to realize the value in their differences and the insight that they learn differently from one another (van Rensburg, 2009).  Equipped with this knowledge, students can see the value in their own personal learning style and the value in those differences (van Rensburg, 2009).  This knowledge can also help students and instructors </w:t>
      </w:r>
      <w:r w:rsidRPr="00EB7C52">
        <w:t xml:space="preserve">to form productive relationships (van Rensburg, 2009).  However, students are often not aware of their personal learning preferences or about learning styles in general (Rogers, 2009).  By having this unawareness, they students are not learning to their fullest potential (Rogers, 2009). </w:t>
      </w:r>
    </w:p>
    <w:p w:rsidR="00DF738C" w:rsidRDefault="00D61720" w:rsidP="00D61720">
      <w:pPr>
        <w:spacing w:line="480" w:lineRule="auto"/>
      </w:pPr>
      <w:r w:rsidRPr="00EB7C52">
        <w:tab/>
        <w:t xml:space="preserve">In a study to determine the effect of learning styles on student performance in the online classroom, Rogers and McNeil (2009) found that students should have the opportunity to be aware of and understand their learning styles.  Additionally, they stated that students should also understand curriculum delivery and the methods that are more suited to their personal preferences so they can make informed decisions to support their learning (Rogers &amp; McNeil, 2009).  In their study, the 193 participants were distributed across many majors and attended the same online university.  The participants completed the Meyers Briggs personality test.  The researchers’ findings were that specific types of learners find success with different teaching methods, including face-to-face instruction and online learning.  They added that instructors should be aware of learning style differences and that students should be aware of their personal preferences in order to select the most appropriate learning methods for their preferences (Rogers &amp; McNeil, </w:t>
      </w:r>
      <w:r w:rsidRPr="00EB7C52">
        <w:lastRenderedPageBreak/>
        <w:t xml:space="preserve">2009).  In a study with sixty-three on site MBA students, Gantasala and Gantasala (2009) found that students should be aware of their learning style preferences in order for them to choose the correct style for a given learning activity.  The researchers also found that when students understand their personal styles, they can use these styles to learn with greater motivation.  However, this study was performed at a single location and time.  </w:t>
      </w:r>
    </w:p>
    <w:p w:rsidR="00D61720" w:rsidRPr="00EA1AF2" w:rsidRDefault="00D61720" w:rsidP="00C74EFE">
      <w:pPr>
        <w:pStyle w:val="Heading2"/>
      </w:pPr>
      <w:bookmarkStart w:id="11" w:name="_Toc365469965"/>
      <w:r>
        <w:t>Student Perceptions</w:t>
      </w:r>
      <w:bookmarkEnd w:id="11"/>
    </w:p>
    <w:p w:rsidR="00D61720" w:rsidRPr="00D432A1" w:rsidRDefault="00D61720" w:rsidP="00D61720">
      <w:pPr>
        <w:spacing w:line="480" w:lineRule="auto"/>
        <w:ind w:firstLine="720"/>
      </w:pPr>
      <w:r w:rsidRPr="00D432A1">
        <w:t xml:space="preserve">Perceptions of students are essential to understand; their perceptions influence their ease with online learning (Tanner, Noser, &amp; Totaro, 2009).  Students have a wide range of perceptions about online learning; these perceptions are essential for improving efficiency of online learning (Yaghoubi </w:t>
      </w:r>
      <w:r w:rsidRPr="008C27E4">
        <w:t>et al., 2008</w:t>
      </w:r>
      <w:r w:rsidRPr="00D432A1">
        <w:t xml:space="preserve">).  Learning styles may be a factor that contributes to student attitudes about learning online (Battalio, 2009).  While some may have concerns regarding interaction with instructors and peers, they typically state that online learning is effective (Conrad &amp; Pedro, 2009).  However, students are often less satisfied with online learning as compared to traditional learning in a brick and mortar classroom (Pillay et al., 2007).  One study, performed by Seok et al. (2010) found that there is a difference in perception of online education based on the gender of the student.  Scholars, including Seok et al. (2010) and Bristow et al. (2011), found that female students are more likely than males to state that online learning is effective and that female students were more likely to have positive perceptions of online education (Bristow et al., 2011; Seok et al., 2010).  Seok et al. (2010) also found that students typically had a lower perception of online learning than instructors did.  In another study, Bristow et al. (2011) found that of their sample, 30% had negative perceptions of online learning.  Bristow et al. (2011) collected data from 801 students from a single university.  </w:t>
      </w:r>
      <w:r w:rsidRPr="00D432A1">
        <w:lastRenderedPageBreak/>
        <w:t xml:space="preserve">While their sample size was large, the researchers noted that future studies should include a more geographically diverse population and in a wider range of college sizes and types (Bristow, et al., 2011).  Seok et al. (2010) also used a large sample size with 193 instructors and 141 students participating.  While their findings were robust, they also extended well beyond the two research questions posed in the study.   </w:t>
      </w:r>
    </w:p>
    <w:p w:rsidR="00D61720" w:rsidRPr="00D432A1" w:rsidRDefault="00D61720" w:rsidP="00D61720">
      <w:pPr>
        <w:spacing w:line="480" w:lineRule="auto"/>
        <w:ind w:firstLine="720"/>
      </w:pPr>
      <w:r w:rsidRPr="00D432A1">
        <w:t xml:space="preserve">Online education provides learners with the freedom and flexibility that brick and mortar classrooms cannot provide (Park &amp; Choi, 2009).  This flexibility often translates into the perception that the online environment also creates an easier avenue for academic dishonesty (Gaytan, 2009; Spaulding, 2009).  However, studies have shown that there is no increase in academic dishonesty based on the delivery method (Spaulding, 2009).  In some cases, the less experience someone has with online learning, the more likely he or she is to believe that it is easier to cheat in an online course (Bristow et al., 2011).  </w:t>
      </w:r>
    </w:p>
    <w:p w:rsidR="00D61720" w:rsidRPr="00D432A1" w:rsidRDefault="00D61720" w:rsidP="00D61720">
      <w:pPr>
        <w:spacing w:line="480" w:lineRule="auto"/>
        <w:ind w:firstLine="720"/>
      </w:pPr>
      <w:r w:rsidRPr="00D432A1">
        <w:t xml:space="preserve">Students often have the perception that online learning is faster, easier, less rigorous, and more flexible than classroom learning and is the method to use when the learner is uninterested in the content (Journell, 2010).  In the study, performed by Journell (2010), eleven students and one instructor were interviewed regarding their perceptions of online learning.  Participants were high school students who were all enrolled in the same course with the instructor who was also a participant (Journell, 2010).  While the researcher found perceptions of learners before they course began, he also found that as the class progressed, many perceptions of the participants changed (Journell, 2010).  Participants stated that it was self-motivation rather than the delivery that caused them difficulty (Journell, 2010).  However, this study included only a few </w:t>
      </w:r>
      <w:r w:rsidRPr="00D432A1">
        <w:lastRenderedPageBreak/>
        <w:t xml:space="preserve">participants for data collection.  While the data was robust, further studies would help to increase the generalizability of the findings.     </w:t>
      </w:r>
    </w:p>
    <w:p w:rsidR="00D61720" w:rsidRPr="00D432A1" w:rsidRDefault="00D61720" w:rsidP="00D61720">
      <w:pPr>
        <w:spacing w:line="480" w:lineRule="auto"/>
        <w:ind w:firstLine="720"/>
      </w:pPr>
      <w:r w:rsidRPr="00D432A1">
        <w:t xml:space="preserve">At the opposite end of the spectrum, students also may have perceptions that online learning is more enjoyable and is of a higher quality than classes without technology (Tanner et al., 2009).  In a study conducted by Tanner et al., the researchers used a questionnaire on a pilot study of twenty business students.  Once revised, the questionnaire was distributed to 890 participants who were enrolled in two universities. One hundred ninety participants had taken online courses, while seven hundred had not (Tanner et al., 2009).  The researchers also collected data from faculty members in order to compare perceptions.  The researchers used a convenience sample for students and a national random sample that included 1175 faculty members (Tanner et al., 2009).  While the results strongly suggest that faculty and students have great differences in perceptions of online learning (Tanner et al., 2009), the study would have benefited by using faculty members who also work at the same university as the participants rather than compare a small location of students to a nationwide sampling of faculty.  Student participants also reported that they perceived online learning to require more self-discipline and a sense that they taught themselves the material (Tanner et al., 2009). </w:t>
      </w:r>
    </w:p>
    <w:p w:rsidR="00D61720" w:rsidRPr="00D432A1" w:rsidRDefault="00D61720" w:rsidP="00D61720">
      <w:pPr>
        <w:spacing w:line="480" w:lineRule="auto"/>
        <w:ind w:firstLine="720"/>
      </w:pPr>
      <w:r w:rsidRPr="00D432A1">
        <w:t xml:space="preserve">Those who support online education argue that it provides students with a more meaningful educational experience as well as flexibility and convenience (Conrad &amp; Pedro, 2009).  Online learning can also help students to share more information with one another (Conrad &amp; Pedro, 2009).  Benefits to online learning include flexibility, immediacy of feedback, a reduction of pressure, and lifelong learning (Conrad &amp; Pedro, 2009).  </w:t>
      </w:r>
    </w:p>
    <w:p w:rsidR="00D61720" w:rsidRPr="00EA1AF2" w:rsidRDefault="00D61720" w:rsidP="00D61720">
      <w:pPr>
        <w:spacing w:line="480" w:lineRule="auto"/>
      </w:pPr>
      <w:r w:rsidRPr="00D432A1">
        <w:lastRenderedPageBreak/>
        <w:tab/>
        <w:t>The preparedness of online learners is an important consideration for universities as they develop courses (Blankenship &amp; Atkinson, 2010).  Students have higher satisfaction when they have positive perceptions of preparedness (Ho, Tsung-Hsein, &amp; Bishan, 2010; Park &amp; Wentling, 2007).  These areas of preparedness, or readiness as it is also called, include time management, adaptability, motivation, and an understanding of individual learning styles (Pillay et al., 2007).  However, when students’ perceptions are incorrect when compared to reality, their perceptions can make it more difficult to adapt to the online learning platform (Mahoney, 2009).</w:t>
      </w:r>
    </w:p>
    <w:p w:rsidR="004B0CD0" w:rsidRPr="00EA1AF2" w:rsidRDefault="00E5100D" w:rsidP="002F1976">
      <w:pPr>
        <w:pStyle w:val="Heading1"/>
      </w:pPr>
      <w:bookmarkStart w:id="12" w:name="_Toc365469967"/>
      <w:r w:rsidRPr="00EA1AF2">
        <w:t>Research Method</w:t>
      </w:r>
      <w:bookmarkEnd w:id="12"/>
    </w:p>
    <w:p w:rsidR="00E902A9" w:rsidRDefault="0063117F">
      <w:pPr>
        <w:spacing w:line="480" w:lineRule="auto"/>
        <w:ind w:firstLine="720"/>
      </w:pPr>
      <w:bookmarkStart w:id="13" w:name="_Toc251423645"/>
      <w:bookmarkStart w:id="14" w:name="_Toc145748781"/>
      <w:bookmarkStart w:id="15" w:name="_Toc145829268"/>
      <w:r>
        <w:t>A</w:t>
      </w:r>
      <w:r w:rsidRPr="00D432A1">
        <w:t xml:space="preserve"> </w:t>
      </w:r>
      <w:r w:rsidR="00CA693D">
        <w:t>qualitative single-case study design was used for this study with a phe</w:t>
      </w:r>
      <w:r w:rsidR="0094352B" w:rsidRPr="0094352B">
        <w:t>nomenological approach</w:t>
      </w:r>
      <w:r w:rsidR="00162117">
        <w:t xml:space="preserve">.  </w:t>
      </w:r>
    </w:p>
    <w:p w:rsidR="00276E18" w:rsidRDefault="00276E18" w:rsidP="00CA7AD7">
      <w:pPr>
        <w:spacing w:line="480" w:lineRule="auto"/>
        <w:ind w:firstLine="720"/>
      </w:pPr>
      <w:r>
        <w:t>P</w:t>
      </w:r>
      <w:r w:rsidR="00CA7AD7" w:rsidRPr="00D432A1">
        <w:t xml:space="preserve">articipants </w:t>
      </w:r>
      <w:r w:rsidR="00F85AD2">
        <w:t>completed</w:t>
      </w:r>
      <w:r w:rsidR="00CA7AD7" w:rsidRPr="00D432A1">
        <w:t xml:space="preserve"> the </w:t>
      </w:r>
      <w:r>
        <w:t>ILS</w:t>
      </w:r>
      <w:r w:rsidR="00CA7AD7" w:rsidRPr="00D432A1">
        <w:t xml:space="preserve"> </w:t>
      </w:r>
      <w:r>
        <w:t>to identify</w:t>
      </w:r>
      <w:r w:rsidR="00CA7AD7" w:rsidRPr="00D432A1">
        <w:t xml:space="preserve"> their individual learning preferences.  The data from the ILS </w:t>
      </w:r>
      <w:r>
        <w:t xml:space="preserve">were used </w:t>
      </w:r>
      <w:r w:rsidR="00F85AD2">
        <w:t>only</w:t>
      </w:r>
      <w:r w:rsidR="00CA7AD7" w:rsidRPr="00D432A1">
        <w:t xml:space="preserve"> to inform the participants about their individual preferences.  The aim of this study </w:t>
      </w:r>
      <w:r w:rsidR="00F85AD2">
        <w:t>was</w:t>
      </w:r>
      <w:r w:rsidR="00CA7AD7" w:rsidRPr="00D432A1">
        <w:t xml:space="preserve"> to understand how participants incorporate</w:t>
      </w:r>
      <w:r>
        <w:t>d the</w:t>
      </w:r>
      <w:r w:rsidR="00CA7AD7" w:rsidRPr="00D432A1">
        <w:t xml:space="preserve"> awareness of their learning preferences, rather than </w:t>
      </w:r>
      <w:r>
        <w:t xml:space="preserve">to determine or evaluate </w:t>
      </w:r>
      <w:r w:rsidR="00CA7AD7" w:rsidRPr="00D432A1">
        <w:t>the</w:t>
      </w:r>
      <w:r>
        <w:t>ir</w:t>
      </w:r>
      <w:r w:rsidR="00CA7AD7" w:rsidRPr="00D432A1">
        <w:t xml:space="preserve"> actual learning preferences.  </w:t>
      </w:r>
    </w:p>
    <w:p w:rsidR="00003796" w:rsidRDefault="00CA7AD7" w:rsidP="00CA7AD7">
      <w:pPr>
        <w:spacing w:line="480" w:lineRule="auto"/>
        <w:ind w:firstLine="720"/>
      </w:pPr>
      <w:r w:rsidRPr="00D432A1">
        <w:t xml:space="preserve">After completing the ILS and reviewing their individual results, participants </w:t>
      </w:r>
      <w:r w:rsidR="00F85AD2">
        <w:t>viewed</w:t>
      </w:r>
      <w:r w:rsidRPr="00D432A1">
        <w:t xml:space="preserve"> the explanation of their results</w:t>
      </w:r>
      <w:r w:rsidR="00276E18">
        <w:t>, as indicated by the authors of the ILS</w:t>
      </w:r>
      <w:r w:rsidRPr="00D432A1">
        <w:t xml:space="preserve"> (</w:t>
      </w:r>
      <w:r w:rsidR="00276E18">
        <w:t xml:space="preserve">see </w:t>
      </w:r>
      <w:r w:rsidRPr="00D432A1">
        <w:t xml:space="preserve">Appendix D).  </w:t>
      </w:r>
      <w:r w:rsidR="00276E18">
        <w:t>P</w:t>
      </w:r>
      <w:r w:rsidRPr="00D432A1">
        <w:t xml:space="preserve">articipants </w:t>
      </w:r>
      <w:r w:rsidR="00276E18">
        <w:t xml:space="preserve">then </w:t>
      </w:r>
      <w:r w:rsidR="00F85AD2">
        <w:t>completed</w:t>
      </w:r>
      <w:r w:rsidRPr="00D432A1">
        <w:t xml:space="preserve"> diary entries</w:t>
      </w:r>
      <w:r w:rsidR="00C57848">
        <w:t xml:space="preserve"> </w:t>
      </w:r>
      <w:r w:rsidRPr="00D432A1">
        <w:t>and an individual</w:t>
      </w:r>
      <w:r w:rsidR="00C57848">
        <w:t xml:space="preserve"> telephone interview</w:t>
      </w:r>
      <w:r w:rsidR="00276E18">
        <w:t xml:space="preserve">.  </w:t>
      </w:r>
      <w:r w:rsidR="00E32C86">
        <w:t xml:space="preserve">The first diary </w:t>
      </w:r>
      <w:r w:rsidR="003B37F3">
        <w:t xml:space="preserve">prompt </w:t>
      </w:r>
      <w:r w:rsidR="00E32C86">
        <w:t xml:space="preserve">was sent to participants with the ILS information so </w:t>
      </w:r>
      <w:r w:rsidR="00E93D08">
        <w:t xml:space="preserve">that </w:t>
      </w:r>
      <w:r w:rsidR="00E32C86">
        <w:t xml:space="preserve">they could complete </w:t>
      </w:r>
      <w:r w:rsidR="003B37F3">
        <w:t xml:space="preserve">the diary </w:t>
      </w:r>
      <w:r w:rsidR="00E32C86">
        <w:t xml:space="preserve">immediately </w:t>
      </w:r>
      <w:r w:rsidR="00E93D08">
        <w:t xml:space="preserve">after being informed of the results of the ILS.  In this way, </w:t>
      </w:r>
      <w:r w:rsidR="00E32C86">
        <w:t>initial responses</w:t>
      </w:r>
      <w:r w:rsidR="00E93D08">
        <w:t xml:space="preserve"> were captured</w:t>
      </w:r>
      <w:r w:rsidR="00E32C86">
        <w:t xml:space="preserve">.  </w:t>
      </w:r>
      <w:r w:rsidR="00E93D08">
        <w:t>Seven days later, t</w:t>
      </w:r>
      <w:r w:rsidR="00E32C86">
        <w:t xml:space="preserve">he second diary </w:t>
      </w:r>
      <w:r w:rsidR="003B37F3">
        <w:t xml:space="preserve">prompt </w:t>
      </w:r>
      <w:r w:rsidR="00E32C86">
        <w:t>was e</w:t>
      </w:r>
      <w:r w:rsidR="00775CCA">
        <w:t>-</w:t>
      </w:r>
      <w:r w:rsidR="00E32C86">
        <w:t xml:space="preserve">mailed to participants </w:t>
      </w:r>
      <w:r w:rsidR="00E93D08">
        <w:t xml:space="preserve">along with a request to </w:t>
      </w:r>
      <w:r w:rsidR="00E32C86">
        <w:t>schedul</w:t>
      </w:r>
      <w:r w:rsidR="00E93D08">
        <w:t xml:space="preserve">e an </w:t>
      </w:r>
      <w:r w:rsidR="00E32C86">
        <w:t xml:space="preserve">interview.  </w:t>
      </w:r>
      <w:r w:rsidR="00C74EFE">
        <w:lastRenderedPageBreak/>
        <w:t>I</w:t>
      </w:r>
      <w:r w:rsidR="008F32CF">
        <w:t xml:space="preserve">nterviews were audio-recorded </w:t>
      </w:r>
      <w:r w:rsidRPr="00D432A1">
        <w:t xml:space="preserve">to increase accuracy and to permit more attentiveness </w:t>
      </w:r>
      <w:r w:rsidR="000C5FE3">
        <w:t>to the participant</w:t>
      </w:r>
      <w:r w:rsidRPr="00D432A1">
        <w:t xml:space="preserve"> (Patton, 2002).  </w:t>
      </w:r>
    </w:p>
    <w:p w:rsidR="00003796" w:rsidRDefault="00003796" w:rsidP="00CA7AD7">
      <w:pPr>
        <w:spacing w:line="480" w:lineRule="auto"/>
        <w:ind w:firstLine="720"/>
      </w:pPr>
      <w:r>
        <w:t>After hearing</w:t>
      </w:r>
      <w:r w:rsidRPr="00D432A1">
        <w:t xml:space="preserve"> </w:t>
      </w:r>
      <w:r w:rsidR="007612A8">
        <w:t>the results of the questionnaire</w:t>
      </w:r>
      <w:r w:rsidR="00CA7AD7" w:rsidRPr="00D432A1">
        <w:t xml:space="preserve"> and reviewing an e</w:t>
      </w:r>
      <w:r w:rsidR="00E32C86">
        <w:t xml:space="preserve">xplanation of </w:t>
      </w:r>
      <w:r w:rsidR="007612A8">
        <w:t xml:space="preserve">their learning </w:t>
      </w:r>
      <w:r w:rsidR="00E32C86">
        <w:t>preferences</w:t>
      </w:r>
      <w:r>
        <w:t xml:space="preserve">, </w:t>
      </w:r>
      <w:r w:rsidRPr="00E902A9">
        <w:t xml:space="preserve">participants </w:t>
      </w:r>
      <w:r w:rsidR="0094352B" w:rsidRPr="0094352B">
        <w:t xml:space="preserve">wrote </w:t>
      </w:r>
      <w:r w:rsidR="00E902A9">
        <w:t xml:space="preserve">in their diaries </w:t>
      </w:r>
      <w:r w:rsidR="0094352B" w:rsidRPr="0094352B">
        <w:t>about</w:t>
      </w:r>
      <w:r w:rsidRPr="00E902A9">
        <w:t xml:space="preserve"> their perceptions</w:t>
      </w:r>
      <w:r>
        <w:t xml:space="preserve"> of online learning and their preparedness to learn in an electronic classroom.  </w:t>
      </w:r>
      <w:r w:rsidR="00974127">
        <w:t xml:space="preserve">One week </w:t>
      </w:r>
      <w:r w:rsidR="00E902A9">
        <w:t xml:space="preserve">later, </w:t>
      </w:r>
      <w:r w:rsidR="00974127">
        <w:t xml:space="preserve">after </w:t>
      </w:r>
      <w:r w:rsidR="00E902A9">
        <w:t xml:space="preserve">the participants </w:t>
      </w:r>
      <w:r w:rsidR="00E32C86">
        <w:t xml:space="preserve">had completed </w:t>
      </w:r>
      <w:r w:rsidR="00E902A9">
        <w:t xml:space="preserve">some initial </w:t>
      </w:r>
      <w:r w:rsidR="00E32C86">
        <w:t>coursework</w:t>
      </w:r>
      <w:r w:rsidRPr="00E902A9">
        <w:t xml:space="preserve">, </w:t>
      </w:r>
      <w:r w:rsidR="0094352B" w:rsidRPr="0094352B">
        <w:t>a second</w:t>
      </w:r>
      <w:r w:rsidR="00E902A9">
        <w:t>, similar</w:t>
      </w:r>
      <w:r w:rsidR="0094352B" w:rsidRPr="0094352B">
        <w:t xml:space="preserve"> diary entry was completed</w:t>
      </w:r>
      <w:r w:rsidR="00E32C86" w:rsidRPr="00E902A9">
        <w:t>.</w:t>
      </w:r>
      <w:r w:rsidR="00CA7AD7" w:rsidRPr="00E902A9">
        <w:t xml:space="preserve">  </w:t>
      </w:r>
      <w:r w:rsidR="00C74EFE" w:rsidRPr="00E902A9">
        <w:t>Data were</w:t>
      </w:r>
      <w:r w:rsidR="00C74EFE">
        <w:t xml:space="preserve"> collected through </w:t>
      </w:r>
      <w:r w:rsidR="00C74EFE" w:rsidRPr="00D432A1">
        <w:t>electronic communication and telephone interviews</w:t>
      </w:r>
      <w:r w:rsidR="00C74EFE">
        <w:t xml:space="preserve">.  This method of data communication was appropriate for communicating with participants located throughout the world and accustomed to communicating online for their learning programs.  </w:t>
      </w:r>
    </w:p>
    <w:p w:rsidR="00CA7AD7" w:rsidRPr="00D432A1" w:rsidRDefault="00003796" w:rsidP="00CA7AD7">
      <w:pPr>
        <w:spacing w:line="480" w:lineRule="auto"/>
        <w:ind w:firstLine="720"/>
      </w:pPr>
      <w:r>
        <w:t xml:space="preserve">The </w:t>
      </w:r>
      <w:r w:rsidR="00CA7AD7" w:rsidRPr="00D432A1">
        <w:t xml:space="preserve">data </w:t>
      </w:r>
      <w:r>
        <w:t>were</w:t>
      </w:r>
      <w:r w:rsidRPr="00D432A1">
        <w:t xml:space="preserve"> </w:t>
      </w:r>
      <w:r w:rsidR="00CA7AD7" w:rsidRPr="00D432A1">
        <w:t>collected, organized</w:t>
      </w:r>
      <w:r w:rsidR="00CA7AD7" w:rsidRPr="00003796">
        <w:t xml:space="preserve">, </w:t>
      </w:r>
      <w:r w:rsidR="00FC7E90" w:rsidRPr="00FC7E90">
        <w:t>reduced,</w:t>
      </w:r>
      <w:r w:rsidR="006830E6" w:rsidRPr="00003796">
        <w:t xml:space="preserve"> </w:t>
      </w:r>
      <w:r w:rsidR="00CA7AD7" w:rsidRPr="00003796">
        <w:t>and analyzed</w:t>
      </w:r>
      <w:r w:rsidR="00CA7AD7" w:rsidRPr="00D432A1">
        <w:t xml:space="preserve"> for </w:t>
      </w:r>
      <w:r w:rsidR="00CA7AD7" w:rsidRPr="00003796">
        <w:t>themes</w:t>
      </w:r>
      <w:r w:rsidR="006830E6" w:rsidRPr="00003796">
        <w:t xml:space="preserve"> </w:t>
      </w:r>
      <w:r w:rsidR="00FC7E90" w:rsidRPr="00FC7E90">
        <w:t>and clusters</w:t>
      </w:r>
      <w:r>
        <w:t xml:space="preserve">.  </w:t>
      </w:r>
      <w:r w:rsidR="00011462">
        <w:t xml:space="preserve">Data were analyzed first for </w:t>
      </w:r>
      <w:r w:rsidR="00CA7AD7" w:rsidRPr="00011462">
        <w:t xml:space="preserve">individual </w:t>
      </w:r>
      <w:r w:rsidR="00FC7E90" w:rsidRPr="00FC7E90">
        <w:t>participant</w:t>
      </w:r>
      <w:r w:rsidR="00011462">
        <w:t>s</w:t>
      </w:r>
      <w:r w:rsidR="00C527F9" w:rsidRPr="00011462">
        <w:t xml:space="preserve"> and then </w:t>
      </w:r>
      <w:r w:rsidR="00011462">
        <w:t>for the case as a whole</w:t>
      </w:r>
      <w:r w:rsidR="00C527F9" w:rsidRPr="00011462">
        <w:t>.</w:t>
      </w:r>
      <w:r w:rsidR="00CA7AD7" w:rsidRPr="00011462">
        <w:t xml:space="preserve">  </w:t>
      </w:r>
      <w:r w:rsidR="00011462">
        <w:t>No</w:t>
      </w:r>
      <w:r w:rsidR="00CA7AD7" w:rsidRPr="00011462">
        <w:t xml:space="preserve"> direct incentive </w:t>
      </w:r>
      <w:r w:rsidR="00011462">
        <w:t xml:space="preserve">was </w:t>
      </w:r>
      <w:r w:rsidR="00CA7AD7" w:rsidRPr="00011462">
        <w:t>offered to participants for their involvement</w:t>
      </w:r>
      <w:r w:rsidR="00CA7AD7" w:rsidRPr="00D432A1">
        <w:t xml:space="preserve"> in the study.  </w:t>
      </w:r>
      <w:r w:rsidR="00011462">
        <w:t xml:space="preserve">Participants were told </w:t>
      </w:r>
      <w:r w:rsidR="00CA7AD7" w:rsidRPr="00D432A1">
        <w:t xml:space="preserve">in the </w:t>
      </w:r>
      <w:r w:rsidR="00DA2689" w:rsidRPr="00D432A1">
        <w:t xml:space="preserve">Informed Consent </w:t>
      </w:r>
      <w:r w:rsidR="00CA7AD7" w:rsidRPr="00D432A1">
        <w:t xml:space="preserve">form </w:t>
      </w:r>
      <w:r w:rsidR="000C5FE3">
        <w:t>(</w:t>
      </w:r>
      <w:r w:rsidR="00011462">
        <w:t xml:space="preserve">see </w:t>
      </w:r>
      <w:r w:rsidR="000C5FE3">
        <w:t xml:space="preserve">Appendix E) </w:t>
      </w:r>
      <w:r w:rsidR="00CA7AD7" w:rsidRPr="00D432A1">
        <w:t xml:space="preserve">that this information </w:t>
      </w:r>
      <w:r w:rsidR="00292F4A">
        <w:t>might</w:t>
      </w:r>
      <w:r w:rsidR="00292F4A" w:rsidRPr="00D432A1">
        <w:t xml:space="preserve"> </w:t>
      </w:r>
      <w:r w:rsidR="00CA7AD7" w:rsidRPr="00D432A1">
        <w:t xml:space="preserve">help them with learning. </w:t>
      </w:r>
    </w:p>
    <w:p w:rsidR="00192221" w:rsidRPr="00EA1AF2" w:rsidRDefault="00192221" w:rsidP="00C74EFE">
      <w:pPr>
        <w:pStyle w:val="Heading2"/>
      </w:pPr>
      <w:bookmarkStart w:id="16" w:name="_Toc365469970"/>
      <w:bookmarkEnd w:id="13"/>
      <w:bookmarkEnd w:id="14"/>
      <w:bookmarkEnd w:id="15"/>
      <w:r w:rsidRPr="00EA1AF2">
        <w:t>Sample</w:t>
      </w:r>
      <w:bookmarkEnd w:id="16"/>
    </w:p>
    <w:p w:rsidR="0058692E" w:rsidRDefault="00CA7AD7" w:rsidP="00CA7AD7">
      <w:pPr>
        <w:spacing w:line="480" w:lineRule="auto"/>
        <w:ind w:firstLine="720"/>
      </w:pPr>
      <w:r w:rsidRPr="00D432A1">
        <w:t xml:space="preserve">Participants </w:t>
      </w:r>
      <w:r w:rsidR="00F205EA">
        <w:t xml:space="preserve">included 14 </w:t>
      </w:r>
      <w:r w:rsidR="008C4D85">
        <w:t>undergraduate students</w:t>
      </w:r>
      <w:r w:rsidRPr="00D432A1">
        <w:t xml:space="preserve"> enrolled in the first or second online course in their academic careers</w:t>
      </w:r>
      <w:r w:rsidR="00974127">
        <w:t xml:space="preserve">.  This delimitation was chosen because students form </w:t>
      </w:r>
      <w:r w:rsidRPr="00D432A1">
        <w:t xml:space="preserve">their initial perceptions of their </w:t>
      </w:r>
      <w:r w:rsidRPr="00F205EA">
        <w:t>preparedness</w:t>
      </w:r>
      <w:r w:rsidR="00974127">
        <w:t xml:space="preserve"> for </w:t>
      </w:r>
      <w:r w:rsidR="00AB3408">
        <w:t xml:space="preserve">a </w:t>
      </w:r>
      <w:r w:rsidR="00974127">
        <w:t>program at the beginning</w:t>
      </w:r>
      <w:r w:rsidRPr="00F205EA">
        <w:t xml:space="preserve">.  Participants </w:t>
      </w:r>
      <w:r w:rsidR="00461CC4">
        <w:t xml:space="preserve">were selected purposefully from </w:t>
      </w:r>
      <w:r w:rsidR="0094352B" w:rsidRPr="0094352B">
        <w:t>an online program within a traditional university in the U. S. Midwest.</w:t>
      </w:r>
      <w:r w:rsidRPr="00DE2FA5">
        <w:t xml:space="preserve"> </w:t>
      </w:r>
      <w:r w:rsidR="00020B7C" w:rsidRPr="00461CC4">
        <w:t xml:space="preserve"> </w:t>
      </w:r>
      <w:r w:rsidRPr="00461CC4">
        <w:t>The purposeful sample include</w:t>
      </w:r>
      <w:r w:rsidR="008C4D85" w:rsidRPr="00461CC4">
        <w:t>d</w:t>
      </w:r>
      <w:r w:rsidRPr="00461CC4">
        <w:t xml:space="preserve"> only students who </w:t>
      </w:r>
      <w:r w:rsidR="008C4D85" w:rsidRPr="00461CC4">
        <w:t>were</w:t>
      </w:r>
      <w:r w:rsidRPr="00461CC4">
        <w:t xml:space="preserve"> just beginning their online degree programs</w:t>
      </w:r>
      <w:r w:rsidR="00AB3408">
        <w:t xml:space="preserve">. </w:t>
      </w:r>
      <w:r w:rsidRPr="00461CC4">
        <w:t xml:space="preserve"> </w:t>
      </w:r>
      <w:r w:rsidR="006D4307">
        <w:t>T</w:t>
      </w:r>
      <w:r w:rsidR="008C7A90" w:rsidRPr="0030660C">
        <w:t xml:space="preserve">he </w:t>
      </w:r>
      <w:r w:rsidR="006D4307">
        <w:t xml:space="preserve">selected </w:t>
      </w:r>
      <w:r w:rsidR="008C7A90" w:rsidRPr="0030660C">
        <w:t>university provided e-mail addresses for all students enrolled in their first or second online course at the university.</w:t>
      </w:r>
      <w:r w:rsidR="008C7A90" w:rsidRPr="008C7A90">
        <w:t xml:space="preserve">  </w:t>
      </w:r>
      <w:r w:rsidR="008C7A90">
        <w:lastRenderedPageBreak/>
        <w:t xml:space="preserve">Participants were recruited by means of </w:t>
      </w:r>
      <w:r w:rsidR="00AB3408">
        <w:t xml:space="preserve">the </w:t>
      </w:r>
      <w:r w:rsidR="008C7A90">
        <w:t>e-</w:t>
      </w:r>
      <w:r w:rsidR="008C7A90" w:rsidRPr="00D432A1">
        <w:t xml:space="preserve">mail information obtained </w:t>
      </w:r>
      <w:r w:rsidR="008C7A90">
        <w:t xml:space="preserve">from </w:t>
      </w:r>
      <w:r w:rsidR="008C7A90" w:rsidRPr="00D432A1">
        <w:t>the university.</w:t>
      </w:r>
      <w:r w:rsidR="008C7A90">
        <w:t xml:space="preserve">  </w:t>
      </w:r>
    </w:p>
    <w:p w:rsidR="00685DE5" w:rsidRDefault="00CA7AD7" w:rsidP="00685DE5">
      <w:pPr>
        <w:spacing w:line="480" w:lineRule="auto"/>
        <w:ind w:firstLine="720"/>
      </w:pPr>
      <w:r w:rsidRPr="00D432A1">
        <w:t xml:space="preserve">The sample size </w:t>
      </w:r>
      <w:r w:rsidR="008C4D85">
        <w:t>was</w:t>
      </w:r>
      <w:r w:rsidRPr="00D432A1">
        <w:t xml:space="preserve"> determined based on data saturation (Francis et al., 2010; Glaser &amp; Strauss, 1967</w:t>
      </w:r>
      <w:r w:rsidRPr="00461CC4">
        <w:t xml:space="preserve">).  </w:t>
      </w:r>
      <w:r w:rsidR="0094352B" w:rsidRPr="0094352B">
        <w:t>All participants who remained active in the study</w:t>
      </w:r>
      <w:r w:rsidRPr="00461CC4">
        <w:t xml:space="preserve"> </w:t>
      </w:r>
      <w:r w:rsidR="00020B7C" w:rsidRPr="00461CC4">
        <w:t>were</w:t>
      </w:r>
      <w:r w:rsidR="00020B7C">
        <w:t xml:space="preserve"> interviewed</w:t>
      </w:r>
      <w:r w:rsidR="00461CC4">
        <w:t>,</w:t>
      </w:r>
      <w:r w:rsidR="0058692E">
        <w:t xml:space="preserve"> </w:t>
      </w:r>
      <w:r w:rsidRPr="00D432A1">
        <w:t xml:space="preserve">and diary entries </w:t>
      </w:r>
      <w:r w:rsidR="0058692E">
        <w:t xml:space="preserve">were analyzed, </w:t>
      </w:r>
      <w:r w:rsidRPr="00D432A1">
        <w:t xml:space="preserve">until data saturation </w:t>
      </w:r>
      <w:r w:rsidR="008C4D85">
        <w:t>was</w:t>
      </w:r>
      <w:r w:rsidRPr="00D432A1">
        <w:t xml:space="preserve"> met (Francis et al., 2010).  The </w:t>
      </w:r>
      <w:r w:rsidR="00DE4640">
        <w:t xml:space="preserve">small </w:t>
      </w:r>
      <w:r w:rsidRPr="00D432A1">
        <w:t xml:space="preserve">sample size </w:t>
      </w:r>
      <w:r w:rsidR="00DE4640">
        <w:t>enabled</w:t>
      </w:r>
      <w:r w:rsidRPr="00D432A1">
        <w:t xml:space="preserve"> in-depth responses from participants (Yin, 2009).  </w:t>
      </w:r>
      <w:r w:rsidR="00685DE5" w:rsidRPr="00D432A1">
        <w:t xml:space="preserve">Because the participants </w:t>
      </w:r>
      <w:r w:rsidR="00685DE5">
        <w:t>were</w:t>
      </w:r>
      <w:r w:rsidR="00685DE5" w:rsidRPr="00D432A1">
        <w:t xml:space="preserve"> online students, </w:t>
      </w:r>
      <w:r w:rsidR="00AB3A81">
        <w:t xml:space="preserve">the study requirement of </w:t>
      </w:r>
      <w:r w:rsidR="00685DE5" w:rsidRPr="00D432A1">
        <w:t xml:space="preserve">access to a computer and </w:t>
      </w:r>
      <w:r w:rsidR="00685DE5">
        <w:t xml:space="preserve">the </w:t>
      </w:r>
      <w:r w:rsidR="00685DE5" w:rsidRPr="00D432A1">
        <w:t xml:space="preserve">Internet </w:t>
      </w:r>
      <w:r w:rsidR="00685DE5">
        <w:t>did not bias the sample against individuals without online access</w:t>
      </w:r>
      <w:r w:rsidR="00685DE5" w:rsidRPr="00D432A1">
        <w:t>.</w:t>
      </w:r>
    </w:p>
    <w:p w:rsidR="00FA2DBA" w:rsidRPr="00D432A1" w:rsidRDefault="00FA2DBA" w:rsidP="00685DE5">
      <w:pPr>
        <w:spacing w:line="480" w:lineRule="auto"/>
        <w:ind w:firstLine="720"/>
      </w:pPr>
      <w:r w:rsidRPr="00FD030D">
        <w:t xml:space="preserve">The unit of analysis for this study </w:t>
      </w:r>
      <w:r>
        <w:t>was</w:t>
      </w:r>
      <w:r w:rsidRPr="00FD030D">
        <w:t xml:space="preserve"> </w:t>
      </w:r>
      <w:r w:rsidR="00461CC4">
        <w:t xml:space="preserve">the </w:t>
      </w:r>
      <w:r w:rsidRPr="00FD030D">
        <w:t>online university student</w:t>
      </w:r>
      <w:r w:rsidR="002678BD">
        <w:t xml:space="preserve"> enrolled in the first or second class of an online degree program.  These students were the focus of the study because online students </w:t>
      </w:r>
      <w:r w:rsidR="00177CF4">
        <w:t xml:space="preserve">often </w:t>
      </w:r>
      <w:r w:rsidR="002678BD">
        <w:t xml:space="preserve">have difficulty </w:t>
      </w:r>
      <w:r w:rsidRPr="00FD030D">
        <w:t xml:space="preserve">in adapting to the online learning environment </w:t>
      </w:r>
      <w:r w:rsidR="002678BD">
        <w:t>when they begin</w:t>
      </w:r>
      <w:r w:rsidRPr="00FD030D">
        <w:t xml:space="preserve"> their online education (Hsieh &amp; Dwyer, 2009).</w:t>
      </w:r>
      <w:r w:rsidRPr="00D432A1">
        <w:t xml:space="preserve">  </w:t>
      </w:r>
      <w:r w:rsidR="002678BD">
        <w:t xml:space="preserve">Thus, the level of preparedness of these students for online education </w:t>
      </w:r>
      <w:r w:rsidR="006329BF">
        <w:t xml:space="preserve">was </w:t>
      </w:r>
      <w:r w:rsidR="002678BD">
        <w:t xml:space="preserve">an issue of concern.  </w:t>
      </w:r>
    </w:p>
    <w:p w:rsidR="005E6FF9" w:rsidRDefault="00426412">
      <w:pPr>
        <w:spacing w:line="480" w:lineRule="auto"/>
        <w:ind w:firstLine="720"/>
      </w:pPr>
      <w:bookmarkStart w:id="17" w:name="_Toc251423648"/>
      <w:r w:rsidRPr="00D432A1">
        <w:t xml:space="preserve"> </w:t>
      </w:r>
    </w:p>
    <w:p w:rsidR="003F1A73" w:rsidRPr="00EA1AF2" w:rsidRDefault="003F1A73" w:rsidP="00C74EFE">
      <w:pPr>
        <w:pStyle w:val="Heading2"/>
      </w:pPr>
      <w:bookmarkStart w:id="18" w:name="_Toc365469972"/>
      <w:r w:rsidRPr="00EA1AF2">
        <w:t>Data Collection, Processing, and Analysis</w:t>
      </w:r>
      <w:bookmarkEnd w:id="17"/>
      <w:bookmarkEnd w:id="18"/>
    </w:p>
    <w:p w:rsidR="00F50C4A" w:rsidRDefault="007349F5" w:rsidP="006B0FF6">
      <w:pPr>
        <w:spacing w:line="480" w:lineRule="auto"/>
        <w:ind w:firstLine="720"/>
      </w:pPr>
      <w:r>
        <w:t>Before data collection began, the IRB</w:t>
      </w:r>
      <w:r w:rsidR="00AF4192">
        <w:t>s</w:t>
      </w:r>
      <w:r w:rsidR="00F12360">
        <w:t xml:space="preserve"> of Northcentral University </w:t>
      </w:r>
      <w:r w:rsidR="00186304">
        <w:t xml:space="preserve">and of the selected university </w:t>
      </w:r>
      <w:r w:rsidR="00F12360">
        <w:t xml:space="preserve">granted </w:t>
      </w:r>
      <w:r>
        <w:t>permission to conduct the study</w:t>
      </w:r>
      <w:r w:rsidR="00F12360">
        <w:t xml:space="preserve">.  </w:t>
      </w:r>
      <w:r w:rsidR="0077071F" w:rsidRPr="00D432A1">
        <w:t>E</w:t>
      </w:r>
      <w:r w:rsidR="0077071F">
        <w:t>-</w:t>
      </w:r>
      <w:r w:rsidR="0077071F" w:rsidRPr="00D432A1">
        <w:t xml:space="preserve">mail information </w:t>
      </w:r>
      <w:r w:rsidR="0077071F">
        <w:t>was</w:t>
      </w:r>
      <w:r w:rsidR="0077071F" w:rsidRPr="00D432A1">
        <w:t xml:space="preserve"> obtained </w:t>
      </w:r>
      <w:r w:rsidR="0077071F">
        <w:t xml:space="preserve">from </w:t>
      </w:r>
      <w:r w:rsidR="0077071F" w:rsidRPr="00D432A1">
        <w:t xml:space="preserve">the university where participants </w:t>
      </w:r>
      <w:r w:rsidR="0077071F">
        <w:t>were</w:t>
      </w:r>
      <w:r w:rsidR="0077071F" w:rsidRPr="00D432A1">
        <w:t xml:space="preserve"> students</w:t>
      </w:r>
      <w:r w:rsidR="00AE280E" w:rsidRPr="00D432A1">
        <w:t>.</w:t>
      </w:r>
      <w:r w:rsidR="00AE280E">
        <w:t xml:space="preserve">  </w:t>
      </w:r>
      <w:r w:rsidR="0094352B" w:rsidRPr="0094352B">
        <w:t xml:space="preserve">The </w:t>
      </w:r>
      <w:r w:rsidR="006B0FF6">
        <w:t xml:space="preserve">selected </w:t>
      </w:r>
      <w:r w:rsidR="0094352B" w:rsidRPr="0094352B">
        <w:t>university provided e-mail addresses for all students enrolled in their first or second online course at the university.</w:t>
      </w:r>
      <w:r w:rsidR="00AE280E" w:rsidRPr="006B0FF6">
        <w:t xml:space="preserve">  </w:t>
      </w:r>
      <w:r w:rsidR="0094352B" w:rsidRPr="0094352B">
        <w:t xml:space="preserve">Potential participants were </w:t>
      </w:r>
      <w:r w:rsidR="006B0FF6">
        <w:t>then contacted by</w:t>
      </w:r>
      <w:r w:rsidR="0094352B" w:rsidRPr="0094352B">
        <w:t xml:space="preserve"> e-mail (see Appendix F).  Those who responded were sent </w:t>
      </w:r>
      <w:r w:rsidR="006B0FF6">
        <w:t>a link to access the</w:t>
      </w:r>
      <w:r w:rsidR="0094352B" w:rsidRPr="0094352B">
        <w:t xml:space="preserve"> ILS (see Appendix A)</w:t>
      </w:r>
      <w:r w:rsidR="006B0FF6">
        <w:t xml:space="preserve"> along with </w:t>
      </w:r>
      <w:r w:rsidR="006B0FF6">
        <w:lastRenderedPageBreak/>
        <w:t xml:space="preserve">instructions </w:t>
      </w:r>
      <w:r w:rsidR="006B0FF6" w:rsidRPr="00D432A1">
        <w:t xml:space="preserve">for </w:t>
      </w:r>
      <w:r w:rsidR="006B0FF6">
        <w:t>completing</w:t>
      </w:r>
      <w:r w:rsidR="006B0FF6" w:rsidRPr="00D432A1">
        <w:t xml:space="preserve"> the </w:t>
      </w:r>
      <w:r w:rsidR="006B0FF6">
        <w:t xml:space="preserve">instrument.  They were also given a link to locate the instructions for analyzing </w:t>
      </w:r>
      <w:r w:rsidR="006B0FF6" w:rsidRPr="00D432A1">
        <w:t>the results</w:t>
      </w:r>
      <w:r w:rsidR="006B0FF6">
        <w:t xml:space="preserve"> (</w:t>
      </w:r>
      <w:r w:rsidR="00F12360">
        <w:t xml:space="preserve">see </w:t>
      </w:r>
      <w:r w:rsidR="00C25703" w:rsidRPr="00D432A1">
        <w:t xml:space="preserve">Appendix D).  </w:t>
      </w:r>
    </w:p>
    <w:p w:rsidR="00A35EB8" w:rsidRDefault="00F50C4A" w:rsidP="00F04A4B">
      <w:pPr>
        <w:spacing w:line="480" w:lineRule="auto"/>
        <w:ind w:firstLine="720"/>
      </w:pPr>
      <w:r>
        <w:t xml:space="preserve">After participants completed the ILS, the information on the website </w:t>
      </w:r>
      <w:r w:rsidR="00E0092B">
        <w:t>informed</w:t>
      </w:r>
      <w:r>
        <w:t xml:space="preserve"> them</w:t>
      </w:r>
      <w:r w:rsidR="00E0092B">
        <w:t xml:space="preserve"> of their learning styles in terms of four categories: information processing (active vs. reflective), information perception (sensing vs. intuitive), sensory input (visual vs. verbal), and understanding process (global vs. sequential)</w:t>
      </w:r>
      <w:r w:rsidR="00E0092B" w:rsidRPr="00D432A1">
        <w:t xml:space="preserve">.  </w:t>
      </w:r>
      <w:r>
        <w:t>Participants then</w:t>
      </w:r>
      <w:r w:rsidR="00F04A4B">
        <w:t xml:space="preserve"> received an e-mail prompt to complete their diary entries.  At the same time, they received a brief set of demographic questions (see </w:t>
      </w:r>
      <w:r w:rsidR="00F04A4B" w:rsidRPr="0097465A">
        <w:t xml:space="preserve">Appendix </w:t>
      </w:r>
      <w:r w:rsidR="0094352B" w:rsidRPr="0094352B">
        <w:t>G</w:t>
      </w:r>
      <w:r w:rsidR="00F04A4B" w:rsidRPr="0097465A">
        <w:t xml:space="preserve">).  </w:t>
      </w:r>
      <w:r w:rsidR="00A35EB8" w:rsidRPr="0097465A">
        <w:t>Participants</w:t>
      </w:r>
      <w:r w:rsidR="00A35EB8">
        <w:t xml:space="preserve"> returned the diary entries by e-mail, completed their school assignments for a week or longer, and then received an e-mail with the second diary prompt.  They completed their diary entries and returned </w:t>
      </w:r>
      <w:r w:rsidR="00AF4192">
        <w:t xml:space="preserve">the entries </w:t>
      </w:r>
      <w:r w:rsidR="00A35EB8">
        <w:t>by e-mail.  After that, telephone interviews were conducted.</w:t>
      </w:r>
    </w:p>
    <w:p w:rsidR="00C25703" w:rsidRPr="00D432A1" w:rsidRDefault="001543AA" w:rsidP="00DA04EF">
      <w:pPr>
        <w:spacing w:line="480" w:lineRule="auto"/>
        <w:ind w:firstLine="720"/>
      </w:pPr>
      <w:r>
        <w:t xml:space="preserve">Data were collected over a period </w:t>
      </w:r>
      <w:r w:rsidRPr="0097465A">
        <w:t xml:space="preserve">of </w:t>
      </w:r>
      <w:r w:rsidR="0094352B" w:rsidRPr="0094352B">
        <w:t>4</w:t>
      </w:r>
      <w:r w:rsidR="00DB2E3C" w:rsidRPr="0097465A">
        <w:t xml:space="preserve"> months</w:t>
      </w:r>
      <w:r w:rsidR="0094352B" w:rsidRPr="0094352B">
        <w:t>, from March through June 2013</w:t>
      </w:r>
      <w:r w:rsidR="00A3457C" w:rsidRPr="0097465A">
        <w:t>.</w:t>
      </w:r>
      <w:r w:rsidR="00A3457C">
        <w:t xml:space="preserve">  </w:t>
      </w:r>
      <w:r w:rsidR="00DA04EF">
        <w:t>This time interval</w:t>
      </w:r>
      <w:r w:rsidR="001132E3">
        <w:t xml:space="preserve"> </w:t>
      </w:r>
      <w:r w:rsidR="00F50C4A">
        <w:t>was sufficient for</w:t>
      </w:r>
      <w:r w:rsidR="00DB2E3C">
        <w:t xml:space="preserve"> e</w:t>
      </w:r>
      <w:r w:rsidR="001132E3">
        <w:t>-</w:t>
      </w:r>
      <w:r w:rsidR="00DB2E3C">
        <w:t>mail</w:t>
      </w:r>
      <w:r w:rsidR="00F50C4A">
        <w:t>ing</w:t>
      </w:r>
      <w:r w:rsidR="00DB2E3C">
        <w:t xml:space="preserve"> </w:t>
      </w:r>
      <w:r w:rsidR="001132E3">
        <w:t>additional</w:t>
      </w:r>
      <w:r w:rsidR="00DB2E3C">
        <w:t xml:space="preserve"> potential participants as they enrolled in the university, which ha</w:t>
      </w:r>
      <w:r w:rsidR="001132E3">
        <w:t>d</w:t>
      </w:r>
      <w:r w:rsidR="00DB2E3C">
        <w:t xml:space="preserve"> a rolling enrollment and </w:t>
      </w:r>
      <w:r w:rsidR="001132E3">
        <w:t xml:space="preserve">rolling </w:t>
      </w:r>
      <w:r w:rsidR="00DB2E3C">
        <w:t xml:space="preserve">course start dates.  Most participants began and completed the study within a </w:t>
      </w:r>
      <w:r w:rsidR="001132E3">
        <w:t>2</w:t>
      </w:r>
      <w:r w:rsidR="00F95FFA">
        <w:t>-week</w:t>
      </w:r>
      <w:r w:rsidR="00DB2E3C">
        <w:t xml:space="preserve"> </w:t>
      </w:r>
      <w:r w:rsidR="00F95FFA">
        <w:t>period</w:t>
      </w:r>
      <w:r w:rsidR="00DB2E3C">
        <w:t xml:space="preserve">. </w:t>
      </w:r>
    </w:p>
    <w:p w:rsidR="00C25703" w:rsidRDefault="00C25703" w:rsidP="00C25703">
      <w:pPr>
        <w:spacing w:line="480" w:lineRule="auto"/>
        <w:ind w:firstLine="720"/>
      </w:pPr>
      <w:r w:rsidRPr="00D432A1">
        <w:t xml:space="preserve">During the individual interviews, </w:t>
      </w:r>
      <w:r w:rsidR="00570EB5">
        <w:t xml:space="preserve">questions were asked slowly and repeated </w:t>
      </w:r>
      <w:r w:rsidRPr="00D432A1">
        <w:t xml:space="preserve">when necessary.  </w:t>
      </w:r>
      <w:r w:rsidR="00570EB5">
        <w:t>The</w:t>
      </w:r>
      <w:r w:rsidRPr="00D432A1">
        <w:t xml:space="preserve"> questions </w:t>
      </w:r>
      <w:r w:rsidR="00A3457C">
        <w:t>followed</w:t>
      </w:r>
      <w:r w:rsidRPr="00D432A1">
        <w:t xml:space="preserve"> a preset order but remain</w:t>
      </w:r>
      <w:r w:rsidR="00A3457C">
        <w:t>ed</w:t>
      </w:r>
      <w:r w:rsidRPr="00D432A1">
        <w:t xml:space="preserve"> </w:t>
      </w:r>
      <w:r w:rsidRPr="00570EB5">
        <w:t>fluid (</w:t>
      </w:r>
      <w:r w:rsidR="00FC7E90" w:rsidRPr="00FC7E90">
        <w:t>Moustakas, 1994;</w:t>
      </w:r>
      <w:r w:rsidR="00CB21E0" w:rsidRPr="00570EB5">
        <w:t xml:space="preserve"> </w:t>
      </w:r>
      <w:r w:rsidRPr="00570EB5">
        <w:t>Yin, 2009</w:t>
      </w:r>
      <w:r w:rsidRPr="00D432A1">
        <w:t xml:space="preserve">).  </w:t>
      </w:r>
      <w:r w:rsidR="00A3457C">
        <w:t>The interview was</w:t>
      </w:r>
      <w:r w:rsidR="00BC0CA9">
        <w:t xml:space="preserve"> used</w:t>
      </w:r>
      <w:r w:rsidRPr="00D432A1">
        <w:t xml:space="preserve"> to gather data regarding how students incorporate</w:t>
      </w:r>
      <w:r w:rsidR="00A3457C">
        <w:t>d</w:t>
      </w:r>
      <w:r w:rsidRPr="00D432A1">
        <w:t xml:space="preserve"> </w:t>
      </w:r>
      <w:r w:rsidR="00570EB5">
        <w:t>the knowledge</w:t>
      </w:r>
      <w:r w:rsidR="0097465A">
        <w:t xml:space="preserve"> acquired from ILS results</w:t>
      </w:r>
      <w:r w:rsidR="00570EB5">
        <w:t xml:space="preserve"> about their learning styles </w:t>
      </w:r>
      <w:r w:rsidRPr="00D432A1">
        <w:t xml:space="preserve">to form their perceptions of preparedness and online learning.  </w:t>
      </w:r>
    </w:p>
    <w:p w:rsidR="00EE6EF2" w:rsidRPr="00D432A1" w:rsidRDefault="00EE6EF2" w:rsidP="00EE6EF2">
      <w:pPr>
        <w:spacing w:line="480" w:lineRule="auto"/>
        <w:ind w:firstLine="720"/>
      </w:pPr>
      <w:r>
        <w:rPr>
          <w:b/>
        </w:rPr>
        <w:t xml:space="preserve">Data processing.  </w:t>
      </w:r>
      <w:r>
        <w:t>I</w:t>
      </w:r>
      <w:r w:rsidRPr="00D432A1">
        <w:t xml:space="preserve">mmediately after the interview, the </w:t>
      </w:r>
      <w:r>
        <w:t>audio</w:t>
      </w:r>
      <w:r w:rsidR="00996F51">
        <w:t>-</w:t>
      </w:r>
      <w:r>
        <w:t>recording was checked to ensure that the conversation was recorded correctly.  There were no malfunctions</w:t>
      </w:r>
      <w:r w:rsidR="00F50C4A">
        <w:t xml:space="preserve"> in the audio</w:t>
      </w:r>
      <w:r w:rsidR="00996F51">
        <w:t>-</w:t>
      </w:r>
      <w:r w:rsidR="00F50C4A">
        <w:t>recording equipment</w:t>
      </w:r>
      <w:r>
        <w:t>.  To</w:t>
      </w:r>
      <w:r w:rsidRPr="00D432A1">
        <w:t xml:space="preserve"> </w:t>
      </w:r>
      <w:r w:rsidR="00F50C4A">
        <w:t>ensure that</w:t>
      </w:r>
      <w:r w:rsidRPr="00D432A1">
        <w:t xml:space="preserve"> data</w:t>
      </w:r>
      <w:r w:rsidR="00F50C4A">
        <w:t xml:space="preserve"> were not missed</w:t>
      </w:r>
      <w:r w:rsidRPr="00D432A1">
        <w:t xml:space="preserve">, </w:t>
      </w:r>
      <w:r w:rsidRPr="00D432A1">
        <w:lastRenderedPageBreak/>
        <w:t xml:space="preserve">areas of ambiguity </w:t>
      </w:r>
      <w:r>
        <w:t>were</w:t>
      </w:r>
      <w:r w:rsidRPr="00D432A1">
        <w:t xml:space="preserve"> clarified by requesting more information or details from</w:t>
      </w:r>
      <w:r>
        <w:t xml:space="preserve"> the interviewee (Patton, 2002).  This verification was necessary with only two participants.</w:t>
      </w:r>
      <w:r w:rsidRPr="00D432A1">
        <w:t xml:space="preserve">  </w:t>
      </w:r>
      <w:r>
        <w:t xml:space="preserve">Data verification </w:t>
      </w:r>
      <w:r w:rsidRPr="00D432A1">
        <w:t>strengthen</w:t>
      </w:r>
      <w:r>
        <w:t>ed the</w:t>
      </w:r>
      <w:r w:rsidRPr="00D432A1">
        <w:t xml:space="preserve"> trustworthiness </w:t>
      </w:r>
      <w:r>
        <w:t xml:space="preserve">of the study </w:t>
      </w:r>
      <w:r w:rsidRPr="00D432A1">
        <w:t xml:space="preserve">(Baxter &amp; Jack, 2008).  </w:t>
      </w:r>
    </w:p>
    <w:p w:rsidR="00041AA0" w:rsidRDefault="00041AA0" w:rsidP="00DE5560">
      <w:pPr>
        <w:spacing w:line="480" w:lineRule="auto"/>
        <w:ind w:firstLine="720"/>
      </w:pPr>
      <w:r>
        <w:t>A</w:t>
      </w:r>
      <w:r w:rsidRPr="00D432A1">
        <w:t xml:space="preserve"> case study database (Yin, 2009)</w:t>
      </w:r>
      <w:r>
        <w:t xml:space="preserve"> was created</w:t>
      </w:r>
      <w:r w:rsidRPr="00D432A1">
        <w:t xml:space="preserve">.  </w:t>
      </w:r>
      <w:r>
        <w:t>The</w:t>
      </w:r>
      <w:r w:rsidRPr="00D432A1">
        <w:t xml:space="preserve"> database</w:t>
      </w:r>
      <w:r>
        <w:t xml:space="preserve"> </w:t>
      </w:r>
      <w:r w:rsidRPr="00D432A1">
        <w:t>include</w:t>
      </w:r>
      <w:r>
        <w:t>d</w:t>
      </w:r>
      <w:r w:rsidRPr="00D432A1">
        <w:t xml:space="preserve"> </w:t>
      </w:r>
      <w:r>
        <w:t xml:space="preserve">the completed ILS forms, the ILS explanations, the diary entries, and </w:t>
      </w:r>
      <w:r w:rsidRPr="00D432A1">
        <w:t>the transcriptions</w:t>
      </w:r>
      <w:r>
        <w:t>.  The transcriptions were</w:t>
      </w:r>
      <w:r w:rsidRPr="00D432A1">
        <w:t xml:space="preserve"> completed immediately after the interviews.  </w:t>
      </w:r>
      <w:r>
        <w:t xml:space="preserve">All responses were printed and stored together </w:t>
      </w:r>
      <w:r w:rsidRPr="00D432A1">
        <w:t xml:space="preserve">in a locked cabinet </w:t>
      </w:r>
      <w:r>
        <w:t>in my</w:t>
      </w:r>
      <w:r w:rsidRPr="00D432A1">
        <w:t xml:space="preserve"> home office so they </w:t>
      </w:r>
      <w:r>
        <w:t>were</w:t>
      </w:r>
      <w:r w:rsidRPr="00D432A1">
        <w:t xml:space="preserve"> private, yet easy to retrieve</w:t>
      </w:r>
      <w:r>
        <w:t xml:space="preserve"> if needed</w:t>
      </w:r>
      <w:r w:rsidRPr="00D432A1">
        <w:t xml:space="preserve">.  </w:t>
      </w:r>
    </w:p>
    <w:p w:rsidR="000B7B21" w:rsidRDefault="00DA04EF" w:rsidP="00852F2B">
      <w:pPr>
        <w:spacing w:line="480" w:lineRule="auto"/>
        <w:ind w:firstLine="720"/>
      </w:pPr>
      <w:r>
        <w:rPr>
          <w:b/>
        </w:rPr>
        <w:t xml:space="preserve">Analysis.  </w:t>
      </w:r>
      <w:r w:rsidR="004F36B5" w:rsidRPr="00D432A1">
        <w:t xml:space="preserve">The unit of analysis </w:t>
      </w:r>
      <w:r>
        <w:t xml:space="preserve">for this study was the individual student.  The </w:t>
      </w:r>
      <w:r w:rsidR="00963E1C">
        <w:t>r</w:t>
      </w:r>
      <w:r>
        <w:t xml:space="preserve">esults of the </w:t>
      </w:r>
      <w:r w:rsidR="00963E1C">
        <w:t>ILS</w:t>
      </w:r>
      <w:r>
        <w:t xml:space="preserve"> were not used </w:t>
      </w:r>
      <w:r w:rsidR="004F36B5" w:rsidRPr="00D432A1">
        <w:t xml:space="preserve">to inform the study.  </w:t>
      </w:r>
      <w:r>
        <w:t>The data analyzed for the study were derived only from the diary entries and telephone interviews.</w:t>
      </w:r>
      <w:r w:rsidR="00963E1C">
        <w:t xml:space="preserve"> </w:t>
      </w:r>
      <w:r w:rsidR="00EE6EF2">
        <w:t xml:space="preserve"> </w:t>
      </w:r>
    </w:p>
    <w:p w:rsidR="007632B9" w:rsidRDefault="0094352B" w:rsidP="00852F2B">
      <w:pPr>
        <w:spacing w:line="480" w:lineRule="auto"/>
        <w:ind w:firstLine="720"/>
      </w:pPr>
      <w:r w:rsidRPr="0094352B">
        <w:t xml:space="preserve">Before analysis began, the Epoche process was </w:t>
      </w:r>
      <w:r w:rsidRPr="008B4E06">
        <w:t>started</w:t>
      </w:r>
      <w:r w:rsidR="004D3E98" w:rsidRPr="008B4E06">
        <w:t xml:space="preserve"> </w:t>
      </w:r>
      <w:r w:rsidR="006620A9" w:rsidRPr="006620A9">
        <w:t>to ensure that there were no preconceived ideas or bias</w:t>
      </w:r>
      <w:r w:rsidR="008B4E06">
        <w:t>es</w:t>
      </w:r>
      <w:r w:rsidR="006620A9" w:rsidRPr="006620A9">
        <w:t xml:space="preserve"> present when analyzing the data.</w:t>
      </w:r>
      <w:r w:rsidRPr="008B4E06">
        <w:t xml:space="preserve"> </w:t>
      </w:r>
      <w:r w:rsidR="004167F3" w:rsidRPr="008B4E06">
        <w:t xml:space="preserve"> </w:t>
      </w:r>
      <w:r w:rsidRPr="008B4E06">
        <w:t xml:space="preserve">All data </w:t>
      </w:r>
      <w:r w:rsidR="004167F3" w:rsidRPr="008B4E06">
        <w:t>were</w:t>
      </w:r>
      <w:r w:rsidRPr="008B4E06">
        <w:t xml:space="preserve"> </w:t>
      </w:r>
      <w:r w:rsidR="004167F3" w:rsidRPr="008B4E06">
        <w:t>treated as</w:t>
      </w:r>
      <w:r w:rsidR="004167F3">
        <w:t xml:space="preserve"> being of equal value, and all data were </w:t>
      </w:r>
      <w:r w:rsidRPr="0094352B">
        <w:t xml:space="preserve">considered because no position was taken (Moustakas, 1994).  This </w:t>
      </w:r>
      <w:r w:rsidR="004167F3">
        <w:t xml:space="preserve">approach </w:t>
      </w:r>
      <w:r w:rsidRPr="0094352B">
        <w:t xml:space="preserve">allowed for the phenomenon to present itself rather than </w:t>
      </w:r>
      <w:r w:rsidR="007632B9">
        <w:t>permitting</w:t>
      </w:r>
      <w:r w:rsidR="004167F3">
        <w:t xml:space="preserve"> </w:t>
      </w:r>
      <w:r w:rsidRPr="0094352B">
        <w:t xml:space="preserve">preconceived ideas </w:t>
      </w:r>
      <w:r w:rsidR="007632B9">
        <w:t xml:space="preserve">to </w:t>
      </w:r>
      <w:r w:rsidRPr="0094352B">
        <w:t>interfer</w:t>
      </w:r>
      <w:r w:rsidR="004167F3">
        <w:t>e</w:t>
      </w:r>
      <w:r w:rsidRPr="0094352B">
        <w:t xml:space="preserve"> with </w:t>
      </w:r>
      <w:r w:rsidR="004167F3">
        <w:t xml:space="preserve">the </w:t>
      </w:r>
      <w:r w:rsidRPr="0094352B">
        <w:t xml:space="preserve">analysis (Moustakas, 1994).  </w:t>
      </w:r>
    </w:p>
    <w:p w:rsidR="00D87882" w:rsidRDefault="00ED0C52" w:rsidP="00852F2B">
      <w:pPr>
        <w:spacing w:line="480" w:lineRule="auto"/>
        <w:ind w:firstLine="720"/>
      </w:pPr>
      <w:r>
        <w:t>In a process called bracketing, p</w:t>
      </w:r>
      <w:r w:rsidR="004167F3" w:rsidRPr="004167F3">
        <w:t xml:space="preserve">ersonal experiences and biases </w:t>
      </w:r>
      <w:r w:rsidR="004167F3">
        <w:t xml:space="preserve">had to be set aside so that the inquiry could be focused </w:t>
      </w:r>
      <w:r w:rsidR="004167F3" w:rsidRPr="004167F3">
        <w:t>directly on the participants.</w:t>
      </w:r>
      <w:r w:rsidR="004167F3">
        <w:t xml:space="preserve">  </w:t>
      </w:r>
      <w:r w:rsidR="008B4E06">
        <w:t>For example, an</w:t>
      </w:r>
      <w:r w:rsidR="004167F3">
        <w:t xml:space="preserve"> assumption </w:t>
      </w:r>
      <w:r w:rsidR="0094352B" w:rsidRPr="0094352B">
        <w:t xml:space="preserve">that participants would find the information </w:t>
      </w:r>
      <w:r w:rsidR="004167F3">
        <w:t xml:space="preserve">about personal learning styles </w:t>
      </w:r>
      <w:r w:rsidR="0094352B" w:rsidRPr="0094352B">
        <w:t xml:space="preserve">helpful, had to be bracketed and removed (Moustakas, 1994).  </w:t>
      </w:r>
      <w:r>
        <w:t xml:space="preserve">By bracketing this </w:t>
      </w:r>
      <w:r w:rsidR="008B4E06">
        <w:t xml:space="preserve">preconceived </w:t>
      </w:r>
      <w:r>
        <w:t>assumption, it was possible to discover whether participants experienced the knowledge of personal learning styles as beneficial</w:t>
      </w:r>
      <w:r w:rsidR="00D87882" w:rsidRPr="004167F3">
        <w:t>.</w:t>
      </w:r>
      <w:r w:rsidR="00D87882">
        <w:t xml:space="preserve"> </w:t>
      </w:r>
    </w:p>
    <w:p w:rsidR="0074645D" w:rsidRDefault="00FC7E90" w:rsidP="00852F2B">
      <w:pPr>
        <w:spacing w:line="480" w:lineRule="auto"/>
        <w:ind w:firstLine="720"/>
      </w:pPr>
      <w:bookmarkStart w:id="19" w:name="_Toc251423649"/>
      <w:r w:rsidRPr="00FC7E90">
        <w:lastRenderedPageBreak/>
        <w:t xml:space="preserve">The qualitative, phenomenological method used to analyze the data was </w:t>
      </w:r>
      <w:r w:rsidR="00216727">
        <w:t>a</w:t>
      </w:r>
      <w:r w:rsidRPr="00FC7E90">
        <w:t xml:space="preserve"> modification of van Kaam’s approach </w:t>
      </w:r>
      <w:r w:rsidR="00B17F1C">
        <w:t>(</w:t>
      </w:r>
      <w:r w:rsidRPr="00FC7E90">
        <w:t>Moustakas</w:t>
      </w:r>
      <w:r w:rsidR="00B17F1C">
        <w:t xml:space="preserve">, </w:t>
      </w:r>
      <w:r w:rsidRPr="00FC7E90">
        <w:t xml:space="preserve">1994).  </w:t>
      </w:r>
      <w:r w:rsidR="000B7B21">
        <w:t>T</w:t>
      </w:r>
      <w:r w:rsidRPr="00FC7E90">
        <w:t>he first step of this method include</w:t>
      </w:r>
      <w:r w:rsidR="00216727">
        <w:t>d</w:t>
      </w:r>
      <w:r w:rsidRPr="00FC7E90">
        <w:t xml:space="preserve"> listing</w:t>
      </w:r>
      <w:r w:rsidR="00216727">
        <w:t>s</w:t>
      </w:r>
      <w:r w:rsidRPr="00FC7E90">
        <w:t xml:space="preserve"> and preliminary grouping</w:t>
      </w:r>
      <w:r w:rsidR="00216727">
        <w:t>s of</w:t>
      </w:r>
      <w:r w:rsidRPr="00FC7E90">
        <w:t xml:space="preserve"> every expression related to the experience (Moustakas, 1994).  Each transcript and diary entry was read and highlighted for this step, including the </w:t>
      </w:r>
      <w:r w:rsidR="00216727">
        <w:t xml:space="preserve">relevant </w:t>
      </w:r>
      <w:r w:rsidRPr="00FC7E90">
        <w:t xml:space="preserve">expressions and quotes.  The second step </w:t>
      </w:r>
      <w:r w:rsidR="00216727">
        <w:t>was</w:t>
      </w:r>
      <w:r w:rsidRPr="00FC7E90">
        <w:t xml:space="preserve"> to determine the </w:t>
      </w:r>
      <w:r w:rsidR="00216727" w:rsidRPr="00216727">
        <w:t>invariant constituents</w:t>
      </w:r>
      <w:r w:rsidRPr="00FC7E90">
        <w:t xml:space="preserve">.  This step helped to reduce and eliminate data that did not inform the study or address the research questions or problem.  The third step </w:t>
      </w:r>
      <w:r w:rsidR="00216727">
        <w:t>was</w:t>
      </w:r>
      <w:r w:rsidRPr="00FC7E90">
        <w:t xml:space="preserve"> to cluster the invariant constituents into themes (Moustakas, 1994).  </w:t>
      </w:r>
      <w:r w:rsidR="0074645D">
        <w:t>W</w:t>
      </w:r>
      <w:r w:rsidRPr="00FC7E90">
        <w:t xml:space="preserve">ord tables were created for each participant based on the themes that emerged for each research question.  The fourth step was to validate the themes by checking them against the transcript and diary entries.  The fifth and sixth steps were to create an individual textural description of the experience for each participant and then an individual structural description (Moustakas, 1994).  </w:t>
      </w:r>
    </w:p>
    <w:p w:rsidR="0087177A" w:rsidRDefault="00FC7E90" w:rsidP="00852F2B">
      <w:pPr>
        <w:spacing w:line="480" w:lineRule="auto"/>
        <w:ind w:firstLine="720"/>
      </w:pPr>
      <w:r w:rsidRPr="00FC7E90">
        <w:t xml:space="preserve">The final step in data analysis was to create the </w:t>
      </w:r>
      <w:r w:rsidR="0074645D" w:rsidRPr="0074645D">
        <w:t xml:space="preserve">composite description </w:t>
      </w:r>
      <w:r w:rsidRPr="00FC7E90">
        <w:t>(Moustakas</w:t>
      </w:r>
      <w:r w:rsidR="0074645D">
        <w:t>, 1994</w:t>
      </w:r>
      <w:r w:rsidRPr="00FC7E90">
        <w:t xml:space="preserve">).  </w:t>
      </w:r>
      <w:r w:rsidR="0074645D">
        <w:t>The composite description</w:t>
      </w:r>
      <w:r w:rsidRPr="00FC7E90">
        <w:t xml:space="preserve"> was also the final component of the case study database.  </w:t>
      </w:r>
      <w:r w:rsidR="0074645D">
        <w:t>During the</w:t>
      </w:r>
      <w:r w:rsidRPr="00FC7E90">
        <w:t xml:space="preserve"> writing </w:t>
      </w:r>
      <w:r w:rsidR="0074645D">
        <w:t xml:space="preserve">of </w:t>
      </w:r>
      <w:r w:rsidRPr="00FC7E90">
        <w:t xml:space="preserve">the </w:t>
      </w:r>
      <w:r w:rsidR="0074645D" w:rsidRPr="0074645D">
        <w:t>composite description</w:t>
      </w:r>
      <w:r w:rsidRPr="00FC7E90">
        <w:t>,</w:t>
      </w:r>
      <w:r w:rsidR="00852F2B" w:rsidRPr="00041AA0">
        <w:t xml:space="preserve"> </w:t>
      </w:r>
      <w:r w:rsidR="007632B9">
        <w:t>the</w:t>
      </w:r>
      <w:r w:rsidR="007632B9" w:rsidRPr="00216727">
        <w:t xml:space="preserve"> </w:t>
      </w:r>
      <w:r w:rsidR="00852F2B" w:rsidRPr="00216727">
        <w:t>research questions</w:t>
      </w:r>
      <w:r w:rsidR="0074645D">
        <w:t xml:space="preserve"> were answered from both diary entries and interview transcripts</w:t>
      </w:r>
      <w:r w:rsidR="00852F2B" w:rsidRPr="00216727">
        <w:t xml:space="preserve">.  </w:t>
      </w:r>
      <w:r w:rsidR="001C3039">
        <w:t>U</w:t>
      </w:r>
      <w:r w:rsidR="00852F2B" w:rsidRPr="00216727">
        <w:t>sing the data to answer the research questions</w:t>
      </w:r>
      <w:r w:rsidR="001C3039">
        <w:t xml:space="preserve"> ensured that</w:t>
      </w:r>
      <w:r w:rsidR="00852F2B" w:rsidRPr="00216727">
        <w:t xml:space="preserve"> the data </w:t>
      </w:r>
      <w:r w:rsidR="001C3039">
        <w:t>were</w:t>
      </w:r>
      <w:r w:rsidR="001C3039" w:rsidRPr="00216727">
        <w:t xml:space="preserve"> </w:t>
      </w:r>
      <w:r w:rsidR="00852F2B" w:rsidRPr="00216727">
        <w:t xml:space="preserve">reduced to include </w:t>
      </w:r>
      <w:r w:rsidR="001C3039">
        <w:t xml:space="preserve">only material </w:t>
      </w:r>
      <w:r w:rsidR="00852F2B" w:rsidRPr="00216727">
        <w:t xml:space="preserve">that was </w:t>
      </w:r>
      <w:r w:rsidR="00852F2B" w:rsidRPr="0074645D">
        <w:t xml:space="preserve">specifically focused on answering the research questions of the study </w:t>
      </w:r>
      <w:r w:rsidR="0087177A" w:rsidRPr="0074645D">
        <w:t>(Miles &amp; Huberman, 1994</w:t>
      </w:r>
      <w:r w:rsidR="00C663BC">
        <w:t>).  T</w:t>
      </w:r>
      <w:r w:rsidR="005A41E5">
        <w:t xml:space="preserve">wo distinct diary entries completed at two different times during the course program, along with data from personal interviews, </w:t>
      </w:r>
      <w:r w:rsidR="00C663BC">
        <w:t>ensured data</w:t>
      </w:r>
      <w:r w:rsidR="00C663BC" w:rsidRPr="00041AA0">
        <w:t xml:space="preserve"> </w:t>
      </w:r>
      <w:r w:rsidR="00852F2B" w:rsidRPr="00041AA0">
        <w:t>triangulat</w:t>
      </w:r>
      <w:r w:rsidR="00C663BC">
        <w:t>ion</w:t>
      </w:r>
      <w:r w:rsidR="00852F2B" w:rsidRPr="00216727">
        <w:t xml:space="preserve"> (Yin, 2009).</w:t>
      </w:r>
      <w:r w:rsidR="00852F2B" w:rsidRPr="00D432A1">
        <w:t xml:space="preserve">  </w:t>
      </w:r>
    </w:p>
    <w:p w:rsidR="00852F2B" w:rsidRDefault="008737FC" w:rsidP="00852F2B">
      <w:pPr>
        <w:spacing w:line="480" w:lineRule="auto"/>
        <w:ind w:firstLine="720"/>
      </w:pPr>
      <w:r>
        <w:lastRenderedPageBreak/>
        <w:t>After</w:t>
      </w:r>
      <w:r w:rsidR="00852F2B" w:rsidRPr="00D432A1">
        <w:t xml:space="preserve"> the data </w:t>
      </w:r>
      <w:r>
        <w:t>were</w:t>
      </w:r>
      <w:r w:rsidRPr="00D432A1">
        <w:t xml:space="preserve"> </w:t>
      </w:r>
      <w:r w:rsidR="00852F2B" w:rsidRPr="00D432A1">
        <w:t xml:space="preserve">analyzed and </w:t>
      </w:r>
      <w:r>
        <w:t>interpreted,</w:t>
      </w:r>
      <w:r w:rsidR="00852F2B" w:rsidRPr="00D432A1">
        <w:t xml:space="preserve"> and conclusions</w:t>
      </w:r>
      <w:r>
        <w:t xml:space="preserve"> were drawn, participants </w:t>
      </w:r>
      <w:r w:rsidR="00852F2B" w:rsidRPr="00D432A1">
        <w:t>member</w:t>
      </w:r>
      <w:r>
        <w:t>-</w:t>
      </w:r>
      <w:r w:rsidR="00852F2B" w:rsidRPr="00D432A1">
        <w:t xml:space="preserve">checked </w:t>
      </w:r>
      <w:r>
        <w:t>the results</w:t>
      </w:r>
      <w:r w:rsidR="00852F2B" w:rsidRPr="00D432A1">
        <w:t xml:space="preserve">.  </w:t>
      </w:r>
      <w:r>
        <w:t xml:space="preserve">Member checking helped to </w:t>
      </w:r>
      <w:r w:rsidR="00852F2B" w:rsidRPr="00D432A1">
        <w:t xml:space="preserve">clarify the interpretations and allow the participants the opportunity to contribute any additional perspectives that may </w:t>
      </w:r>
      <w:r w:rsidR="00852F2B">
        <w:t>have been</w:t>
      </w:r>
      <w:r w:rsidR="00852F2B" w:rsidRPr="00D432A1">
        <w:t xml:space="preserve"> overlooked (Baxter &amp; Jack, 2008).</w:t>
      </w:r>
      <w:r w:rsidR="00852F2B">
        <w:t xml:space="preserve">  </w:t>
      </w:r>
      <w:r>
        <w:t xml:space="preserve">As participants recommended </w:t>
      </w:r>
      <w:r w:rsidR="00852F2B">
        <w:t>no corrections or additions</w:t>
      </w:r>
      <w:r>
        <w:t xml:space="preserve">, </w:t>
      </w:r>
      <w:r w:rsidR="00852F2B">
        <w:t xml:space="preserve">no changes were made. </w:t>
      </w:r>
      <w:r w:rsidR="00852F2B" w:rsidRPr="00D432A1">
        <w:t xml:space="preserve"> </w:t>
      </w:r>
    </w:p>
    <w:p w:rsidR="00BE1C52" w:rsidRPr="00EA1AF2" w:rsidRDefault="0094352B" w:rsidP="00852F2B">
      <w:pPr>
        <w:spacing w:line="480" w:lineRule="auto"/>
        <w:ind w:firstLine="720"/>
        <w:rPr>
          <w:rFonts w:cs="Times New Roman"/>
        </w:rPr>
      </w:pPr>
      <w:r w:rsidRPr="0094352B">
        <w:t xml:space="preserve">Data </w:t>
      </w:r>
      <w:r w:rsidR="00392075">
        <w:t>were</w:t>
      </w:r>
      <w:r w:rsidRPr="0094352B">
        <w:t xml:space="preserve"> verified </w:t>
      </w:r>
      <w:r w:rsidR="00392075">
        <w:t>for</w:t>
      </w:r>
      <w:r w:rsidRPr="0094352B">
        <w:t xml:space="preserve"> confirmability, dependability, credibility, and transferability (Miles et al., 2014</w:t>
      </w:r>
      <w:r w:rsidRPr="00A53491">
        <w:t>).</w:t>
      </w:r>
      <w:r w:rsidR="00BE1C52" w:rsidRPr="00A53491">
        <w:t xml:space="preserve">  </w:t>
      </w:r>
      <w:r w:rsidR="006620A9" w:rsidRPr="006620A9">
        <w:t>Confirmability was addressed because</w:t>
      </w:r>
      <w:r w:rsidR="003F0D8D" w:rsidRPr="00A53491">
        <w:t xml:space="preserve"> t</w:t>
      </w:r>
      <w:r w:rsidRPr="00A53491">
        <w:t xml:space="preserve">he conclusions were </w:t>
      </w:r>
      <w:r w:rsidR="00392075" w:rsidRPr="00A53491">
        <w:t xml:space="preserve">drawn </w:t>
      </w:r>
      <w:r w:rsidR="006620A9" w:rsidRPr="006620A9">
        <w:t>only from</w:t>
      </w:r>
      <w:r w:rsidR="00392075" w:rsidRPr="00A53491">
        <w:t xml:space="preserve"> </w:t>
      </w:r>
      <w:r w:rsidRPr="00A53491">
        <w:t xml:space="preserve">the </w:t>
      </w:r>
      <w:r w:rsidR="006620A9" w:rsidRPr="006620A9">
        <w:t>data</w:t>
      </w:r>
      <w:r w:rsidR="003F0D8D" w:rsidRPr="00A53491">
        <w:t xml:space="preserve"> </w:t>
      </w:r>
      <w:r w:rsidRPr="00A53491">
        <w:t>(Miles et al., 2014</w:t>
      </w:r>
      <w:r w:rsidRPr="0094352B">
        <w:t>)</w:t>
      </w:r>
      <w:r w:rsidR="00392075">
        <w:t>,</w:t>
      </w:r>
      <w:r w:rsidRPr="0094352B">
        <w:t xml:space="preserve"> and personal assumptions were addressed using Epoche (Moustakas, 1994).  The </w:t>
      </w:r>
      <w:r w:rsidR="002B4C54">
        <w:t>data trail for</w:t>
      </w:r>
      <w:r w:rsidRPr="0094352B">
        <w:t xml:space="preserve"> the study </w:t>
      </w:r>
      <w:r w:rsidR="002B4C54">
        <w:t>was</w:t>
      </w:r>
      <w:r w:rsidRPr="0094352B">
        <w:t xml:space="preserve"> detailed enough to be audited (Lincoln &amp; Guba, 1995).  Credibility for the study was achieved </w:t>
      </w:r>
      <w:r w:rsidR="00730038">
        <w:t>by including d</w:t>
      </w:r>
      <w:r w:rsidRPr="0094352B">
        <w:t xml:space="preserve">escriptions and data </w:t>
      </w:r>
      <w:r w:rsidR="00730038">
        <w:t>in</w:t>
      </w:r>
      <w:r w:rsidRPr="0094352B">
        <w:t xml:space="preserve"> detail, including </w:t>
      </w:r>
      <w:r w:rsidR="00730038">
        <w:t xml:space="preserve">direct </w:t>
      </w:r>
      <w:r w:rsidRPr="0094352B">
        <w:t xml:space="preserve">quotations from participants.  Dependability was addressed by ensuring </w:t>
      </w:r>
      <w:r w:rsidR="002B4C54">
        <w:t xml:space="preserve">that </w:t>
      </w:r>
      <w:r w:rsidRPr="0094352B">
        <w:t xml:space="preserve">research questions were clear, data were collected as appropriate to </w:t>
      </w:r>
      <w:r w:rsidR="002B4C54">
        <w:t>address</w:t>
      </w:r>
      <w:r w:rsidRPr="0094352B">
        <w:t xml:space="preserve"> the research questions, and a field test was completed by colleagues (Miles et al., 2014).  T</w:t>
      </w:r>
      <w:r w:rsidR="002B4C54">
        <w:t>he findings were also verified for t</w:t>
      </w:r>
      <w:r w:rsidRPr="0094352B">
        <w:t>ransferability</w:t>
      </w:r>
      <w:r w:rsidR="002B4C54">
        <w:t>.  T</w:t>
      </w:r>
      <w:r w:rsidRPr="0094352B">
        <w:t xml:space="preserve">he sample </w:t>
      </w:r>
      <w:r w:rsidR="002B4C54">
        <w:t>was</w:t>
      </w:r>
      <w:r w:rsidRPr="0094352B">
        <w:t xml:space="preserve"> well described</w:t>
      </w:r>
      <w:r w:rsidR="002B4C54">
        <w:t xml:space="preserve">, and a similar sample could have been selected </w:t>
      </w:r>
      <w:r w:rsidRPr="0094352B">
        <w:t>at other universities</w:t>
      </w:r>
      <w:r w:rsidR="002B4C54">
        <w:t xml:space="preserve">. </w:t>
      </w:r>
      <w:r w:rsidRPr="0094352B">
        <w:t xml:space="preserve"> The findings </w:t>
      </w:r>
      <w:r w:rsidR="002B4C54">
        <w:t>were sufficiently</w:t>
      </w:r>
      <w:r w:rsidRPr="0094352B">
        <w:t xml:space="preserve"> detailed so </w:t>
      </w:r>
      <w:r w:rsidR="002B4C54">
        <w:t xml:space="preserve">that </w:t>
      </w:r>
      <w:r w:rsidRPr="0094352B">
        <w:t xml:space="preserve">they </w:t>
      </w:r>
      <w:r w:rsidR="002B4C54">
        <w:t>could</w:t>
      </w:r>
      <w:r w:rsidRPr="0094352B">
        <w:t xml:space="preserve"> </w:t>
      </w:r>
      <w:r w:rsidR="002B4C54">
        <w:t xml:space="preserve">provide insights to readers in other settings and could </w:t>
      </w:r>
      <w:r w:rsidRPr="0094352B">
        <w:t>be assessed by other</w:t>
      </w:r>
      <w:r w:rsidR="002B4C54">
        <w:t xml:space="preserve"> researcher</w:t>
      </w:r>
      <w:r w:rsidRPr="0094352B">
        <w:t xml:space="preserve">s in their individual settings (Miles et al., </w:t>
      </w:r>
      <w:r w:rsidRPr="00A53491">
        <w:t>201</w:t>
      </w:r>
      <w:r w:rsidR="006620A9" w:rsidRPr="006620A9">
        <w:t>4</w:t>
      </w:r>
      <w:r w:rsidR="00A53491">
        <w:t>)</w:t>
      </w:r>
      <w:r w:rsidRPr="00A53491">
        <w:t>.</w:t>
      </w:r>
      <w:r w:rsidR="00096257">
        <w:t xml:space="preserve"> </w:t>
      </w:r>
      <w:r w:rsidR="00BA67DC">
        <w:t xml:space="preserve"> </w:t>
      </w:r>
    </w:p>
    <w:p w:rsidR="00C71845" w:rsidRDefault="00B32050">
      <w:pPr>
        <w:pStyle w:val="Heading2"/>
      </w:pPr>
      <w:bookmarkStart w:id="20" w:name="_Toc222132554"/>
      <w:bookmarkStart w:id="21" w:name="_Toc251424088"/>
      <w:bookmarkStart w:id="22" w:name="_Toc365469979"/>
      <w:bookmarkStart w:id="23" w:name="_Toc231285448"/>
      <w:bookmarkEnd w:id="19"/>
      <w:r w:rsidRPr="00EA1AF2">
        <w:t>Results</w:t>
      </w:r>
      <w:bookmarkEnd w:id="20"/>
      <w:bookmarkEnd w:id="21"/>
      <w:bookmarkEnd w:id="22"/>
    </w:p>
    <w:p w:rsidR="00446E41" w:rsidRDefault="00446E41" w:rsidP="00446E41">
      <w:pPr>
        <w:spacing w:line="480" w:lineRule="auto"/>
        <w:ind w:firstLine="720"/>
        <w:rPr>
          <w:rFonts w:cs="Times New Roman"/>
        </w:rPr>
      </w:pPr>
      <w:r>
        <w:rPr>
          <w:rFonts w:cs="Times New Roman"/>
        </w:rPr>
        <w:t xml:space="preserve">Table 1 contains the demographic information </w:t>
      </w:r>
      <w:r w:rsidR="00952C1B">
        <w:rPr>
          <w:rFonts w:cs="Times New Roman"/>
        </w:rPr>
        <w:t xml:space="preserve">for </w:t>
      </w:r>
      <w:r>
        <w:rPr>
          <w:rFonts w:cs="Times New Roman"/>
        </w:rPr>
        <w:t xml:space="preserve">the 14 </w:t>
      </w:r>
      <w:r w:rsidR="00952C1B">
        <w:rPr>
          <w:rFonts w:cs="Times New Roman"/>
        </w:rPr>
        <w:t>participants</w:t>
      </w:r>
      <w:r>
        <w:rPr>
          <w:rFonts w:cs="Times New Roman"/>
        </w:rPr>
        <w:t>.</w:t>
      </w:r>
      <w:r w:rsidR="00E567FE">
        <w:rPr>
          <w:rFonts w:cs="Times New Roman"/>
        </w:rPr>
        <w:t xml:space="preserve">  Nine participants were female. </w:t>
      </w:r>
      <w:r w:rsidR="00952C1B">
        <w:rPr>
          <w:rFonts w:cs="Times New Roman"/>
        </w:rPr>
        <w:t xml:space="preserve"> Eight participants (57.1%) had completed some college courses prior to beginning the online program.  </w:t>
      </w:r>
      <w:r w:rsidR="00E567FE">
        <w:rPr>
          <w:rFonts w:cs="Times New Roman"/>
        </w:rPr>
        <w:t xml:space="preserve">All reported their ethnicity as White or Caucasian.  </w:t>
      </w:r>
      <w:r w:rsidR="00AB530C">
        <w:rPr>
          <w:rFonts w:cs="Times New Roman"/>
        </w:rPr>
        <w:t xml:space="preserve">Participants ranged in age </w:t>
      </w:r>
      <w:r w:rsidR="00E567FE">
        <w:rPr>
          <w:rFonts w:cs="Times New Roman"/>
        </w:rPr>
        <w:t>from 34 to 58 years old</w:t>
      </w:r>
      <w:r w:rsidR="00AB530C">
        <w:rPr>
          <w:rFonts w:cs="Times New Roman"/>
        </w:rPr>
        <w:t xml:space="preserve"> (</w:t>
      </w:r>
      <w:r w:rsidR="00AB530C">
        <w:rPr>
          <w:rFonts w:cs="Times New Roman"/>
          <w:i/>
        </w:rPr>
        <w:t xml:space="preserve">M </w:t>
      </w:r>
      <w:r w:rsidR="00AB530C">
        <w:rPr>
          <w:rFonts w:cs="Times New Roman"/>
        </w:rPr>
        <w:t>= 42.2)</w:t>
      </w:r>
      <w:r w:rsidR="00E567FE">
        <w:rPr>
          <w:rFonts w:cs="Times New Roman"/>
        </w:rPr>
        <w:t xml:space="preserve">.  </w:t>
      </w:r>
    </w:p>
    <w:p w:rsidR="00C71845" w:rsidRDefault="006620A9">
      <w:pPr>
        <w:pStyle w:val="Caption"/>
        <w:spacing w:line="480" w:lineRule="auto"/>
        <w:rPr>
          <w:rFonts w:cs="Times New Roman"/>
          <w:b w:val="0"/>
          <w:i/>
          <w:sz w:val="24"/>
          <w:szCs w:val="24"/>
        </w:rPr>
      </w:pPr>
      <w:bookmarkStart w:id="24" w:name="_Toc365304628"/>
      <w:r w:rsidRPr="006620A9">
        <w:rPr>
          <w:rFonts w:cs="Times New Roman"/>
          <w:b w:val="0"/>
          <w:sz w:val="24"/>
          <w:szCs w:val="24"/>
        </w:rPr>
        <w:lastRenderedPageBreak/>
        <w:t xml:space="preserve">Table </w:t>
      </w:r>
      <w:r w:rsidR="008A7D61" w:rsidRPr="006620A9">
        <w:rPr>
          <w:rFonts w:cs="Times New Roman"/>
          <w:b w:val="0"/>
          <w:sz w:val="24"/>
          <w:szCs w:val="24"/>
        </w:rPr>
        <w:fldChar w:fldCharType="begin"/>
      </w:r>
      <w:r w:rsidRPr="006620A9">
        <w:rPr>
          <w:rFonts w:cs="Times New Roman"/>
          <w:b w:val="0"/>
          <w:sz w:val="24"/>
          <w:szCs w:val="24"/>
        </w:rPr>
        <w:instrText xml:space="preserve"> SEQ Table \* ARABIC </w:instrText>
      </w:r>
      <w:r w:rsidR="008A7D61" w:rsidRPr="006620A9">
        <w:rPr>
          <w:rFonts w:cs="Times New Roman"/>
          <w:b w:val="0"/>
          <w:sz w:val="24"/>
          <w:szCs w:val="24"/>
        </w:rPr>
        <w:fldChar w:fldCharType="separate"/>
      </w:r>
      <w:r w:rsidR="00FB723A">
        <w:rPr>
          <w:rFonts w:cs="Times New Roman"/>
          <w:b w:val="0"/>
          <w:noProof/>
          <w:sz w:val="24"/>
          <w:szCs w:val="24"/>
        </w:rPr>
        <w:t>1</w:t>
      </w:r>
      <w:r w:rsidR="008A7D61" w:rsidRPr="006620A9">
        <w:rPr>
          <w:rFonts w:cs="Times New Roman"/>
          <w:b w:val="0"/>
          <w:sz w:val="24"/>
          <w:szCs w:val="24"/>
        </w:rPr>
        <w:fldChar w:fldCharType="end"/>
      </w:r>
      <w:r w:rsidR="00A35B4E">
        <w:br/>
      </w:r>
      <w:r w:rsidR="00A35B4E" w:rsidRPr="00A35B4E">
        <w:rPr>
          <w:rFonts w:cs="Times New Roman"/>
          <w:b w:val="0"/>
          <w:i/>
          <w:sz w:val="24"/>
          <w:szCs w:val="24"/>
        </w:rPr>
        <w:t>Demographic Characteristics of Participant</w:t>
      </w:r>
      <w:r w:rsidR="00A35B4E">
        <w:rPr>
          <w:rFonts w:cs="Times New Roman"/>
          <w:b w:val="0"/>
          <w:i/>
          <w:sz w:val="24"/>
          <w:szCs w:val="24"/>
        </w:rPr>
        <w:t>s</w:t>
      </w:r>
      <w:bookmarkEnd w:id="24"/>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18"/>
        <w:gridCol w:w="447"/>
        <w:gridCol w:w="923"/>
        <w:gridCol w:w="1836"/>
        <w:gridCol w:w="4516"/>
      </w:tblGrid>
      <w:tr w:rsidR="00BB608D" w:rsidTr="00BB608D">
        <w:tc>
          <w:tcPr>
            <w:tcW w:w="1368" w:type="dxa"/>
            <w:gridSpan w:val="2"/>
            <w:tcBorders>
              <w:bottom w:val="single" w:sz="4" w:space="0" w:color="auto"/>
            </w:tcBorders>
            <w:vAlign w:val="bottom"/>
          </w:tcPr>
          <w:p w:rsidR="00BB608D" w:rsidRPr="00902345" w:rsidRDefault="00BB608D" w:rsidP="007437B6">
            <w:pPr>
              <w:spacing w:before="80" w:after="80"/>
              <w:jc w:val="center"/>
              <w:rPr>
                <w:rFonts w:cs="Times New Roman"/>
              </w:rPr>
            </w:pPr>
            <w:r w:rsidRPr="00902345">
              <w:rPr>
                <w:rFonts w:cs="Times New Roman"/>
              </w:rPr>
              <w:t>Participant</w:t>
            </w:r>
          </w:p>
        </w:tc>
        <w:tc>
          <w:tcPr>
            <w:tcW w:w="923" w:type="dxa"/>
            <w:tcBorders>
              <w:bottom w:val="single" w:sz="4" w:space="0" w:color="auto"/>
            </w:tcBorders>
            <w:vAlign w:val="bottom"/>
          </w:tcPr>
          <w:p w:rsidR="00BB608D" w:rsidRPr="00902345" w:rsidRDefault="00BB608D" w:rsidP="007437B6">
            <w:pPr>
              <w:spacing w:before="80" w:after="80"/>
              <w:jc w:val="center"/>
              <w:rPr>
                <w:rFonts w:cs="Times New Roman"/>
              </w:rPr>
            </w:pPr>
            <w:r w:rsidRPr="00902345">
              <w:rPr>
                <w:rFonts w:cs="Times New Roman"/>
              </w:rPr>
              <w:t>Gender</w:t>
            </w:r>
          </w:p>
        </w:tc>
        <w:tc>
          <w:tcPr>
            <w:tcW w:w="1867" w:type="dxa"/>
            <w:tcBorders>
              <w:bottom w:val="single" w:sz="4" w:space="0" w:color="auto"/>
            </w:tcBorders>
            <w:vAlign w:val="bottom"/>
          </w:tcPr>
          <w:p w:rsidR="00BB608D" w:rsidRPr="00902345" w:rsidRDefault="00BB608D" w:rsidP="007437B6">
            <w:pPr>
              <w:spacing w:before="80" w:after="80"/>
              <w:jc w:val="center"/>
              <w:rPr>
                <w:rFonts w:cs="Times New Roman"/>
              </w:rPr>
            </w:pPr>
            <w:r w:rsidRPr="00902345">
              <w:rPr>
                <w:rFonts w:cs="Times New Roman"/>
              </w:rPr>
              <w:t>Age</w:t>
            </w:r>
          </w:p>
        </w:tc>
        <w:tc>
          <w:tcPr>
            <w:tcW w:w="4590" w:type="dxa"/>
            <w:tcBorders>
              <w:bottom w:val="single" w:sz="4" w:space="0" w:color="auto"/>
            </w:tcBorders>
            <w:vAlign w:val="bottom"/>
          </w:tcPr>
          <w:p w:rsidR="00BB608D" w:rsidRPr="00902345" w:rsidRDefault="00BB608D" w:rsidP="007437B6">
            <w:pPr>
              <w:spacing w:before="80" w:after="80"/>
              <w:jc w:val="center"/>
              <w:rPr>
                <w:rFonts w:cs="Times New Roman"/>
              </w:rPr>
            </w:pPr>
            <w:r>
              <w:rPr>
                <w:rFonts w:cs="Times New Roman"/>
              </w:rPr>
              <w:t>Highest educational level</w:t>
            </w:r>
          </w:p>
        </w:tc>
      </w:tr>
      <w:tr w:rsidR="00E9178D" w:rsidTr="00E9178D">
        <w:tc>
          <w:tcPr>
            <w:tcW w:w="918" w:type="dxa"/>
            <w:tcBorders>
              <w:top w:val="single" w:sz="4" w:space="0" w:color="auto"/>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1</w:t>
            </w:r>
          </w:p>
        </w:tc>
        <w:tc>
          <w:tcPr>
            <w:tcW w:w="450" w:type="dxa"/>
            <w:tcBorders>
              <w:top w:val="single" w:sz="4" w:space="0" w:color="auto"/>
              <w:bottom w:val="nil"/>
            </w:tcBorders>
          </w:tcPr>
          <w:p w:rsidR="00E9178D" w:rsidRPr="00902345" w:rsidRDefault="00E9178D" w:rsidP="007437B6">
            <w:pPr>
              <w:spacing w:before="80" w:after="80"/>
              <w:rPr>
                <w:rFonts w:cs="Times New Roman"/>
              </w:rPr>
            </w:pPr>
          </w:p>
        </w:tc>
        <w:tc>
          <w:tcPr>
            <w:tcW w:w="923" w:type="dxa"/>
            <w:tcBorders>
              <w:top w:val="single" w:sz="4" w:space="0" w:color="auto"/>
              <w:bottom w:val="nil"/>
            </w:tcBorders>
          </w:tcPr>
          <w:p w:rsidR="00E9178D" w:rsidRPr="00902345" w:rsidRDefault="00E9178D" w:rsidP="007437B6">
            <w:pPr>
              <w:spacing w:before="80" w:after="80"/>
              <w:rPr>
                <w:rFonts w:cs="Times New Roman"/>
              </w:rPr>
            </w:pPr>
            <w:r w:rsidRPr="00902345">
              <w:rPr>
                <w:rFonts w:cs="Times New Roman"/>
              </w:rPr>
              <w:t>Male</w:t>
            </w:r>
          </w:p>
        </w:tc>
        <w:tc>
          <w:tcPr>
            <w:tcW w:w="1867" w:type="dxa"/>
            <w:tcBorders>
              <w:top w:val="single" w:sz="4" w:space="0" w:color="auto"/>
              <w:bottom w:val="nil"/>
            </w:tcBorders>
          </w:tcPr>
          <w:p w:rsidR="00E9178D" w:rsidRPr="00902345" w:rsidRDefault="00E9178D" w:rsidP="007437B6">
            <w:pPr>
              <w:spacing w:before="80" w:after="80"/>
              <w:jc w:val="center"/>
              <w:rPr>
                <w:rFonts w:cs="Times New Roman"/>
              </w:rPr>
            </w:pPr>
            <w:r w:rsidRPr="00902345">
              <w:rPr>
                <w:rFonts w:cs="Times New Roman"/>
              </w:rPr>
              <w:t>50</w:t>
            </w:r>
          </w:p>
        </w:tc>
        <w:tc>
          <w:tcPr>
            <w:tcW w:w="4590" w:type="dxa"/>
            <w:tcBorders>
              <w:top w:val="single" w:sz="4" w:space="0" w:color="auto"/>
              <w:bottom w:val="nil"/>
            </w:tcBorders>
          </w:tcPr>
          <w:p w:rsidR="00C71845" w:rsidRPr="000073A0" w:rsidRDefault="00E9178D" w:rsidP="007437B6">
            <w:pPr>
              <w:spacing w:before="80" w:after="80"/>
              <w:rPr>
                <w:rFonts w:cs="Times New Roman"/>
                <w:vertAlign w:val="superscript"/>
              </w:rPr>
            </w:pPr>
            <w:r>
              <w:rPr>
                <w:rFonts w:cs="Times New Roman"/>
              </w:rPr>
              <w:t>General Educational Development</w:t>
            </w:r>
            <w:r w:rsidR="000073A0">
              <w:rPr>
                <w:rFonts w:cs="Times New Roman"/>
                <w:vertAlign w:val="superscript"/>
              </w:rPr>
              <w:t>a</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2</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35</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Some college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3</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39</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Associate’s </w:t>
            </w:r>
            <w:r>
              <w:rPr>
                <w:rFonts w:cs="Times New Roman"/>
              </w:rPr>
              <w:t>d</w:t>
            </w:r>
            <w:r w:rsidRPr="00902345">
              <w:rPr>
                <w:rFonts w:cs="Times New Roman"/>
              </w:rPr>
              <w:t>egree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4</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34</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Some </w:t>
            </w:r>
            <w:r>
              <w:rPr>
                <w:rFonts w:cs="Times New Roman"/>
              </w:rPr>
              <w:t>c</w:t>
            </w:r>
            <w:r w:rsidRPr="00902345">
              <w:rPr>
                <w:rFonts w:cs="Times New Roman"/>
              </w:rPr>
              <w:t>ollege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5</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44</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Some </w:t>
            </w:r>
            <w:r>
              <w:rPr>
                <w:rFonts w:cs="Times New Roman"/>
              </w:rPr>
              <w:t>c</w:t>
            </w:r>
            <w:r w:rsidRPr="00902345">
              <w:rPr>
                <w:rFonts w:cs="Times New Roman"/>
              </w:rPr>
              <w:t>ollege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6</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58</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Associate’s </w:t>
            </w:r>
            <w:r>
              <w:rPr>
                <w:rFonts w:cs="Times New Roman"/>
              </w:rPr>
              <w:t>d</w:t>
            </w:r>
            <w:r w:rsidRPr="00902345">
              <w:rPr>
                <w:rFonts w:cs="Times New Roman"/>
              </w:rPr>
              <w:t>egree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7</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51</w:t>
            </w:r>
          </w:p>
        </w:tc>
        <w:tc>
          <w:tcPr>
            <w:tcW w:w="4590" w:type="dxa"/>
            <w:tcBorders>
              <w:top w:val="nil"/>
              <w:bottom w:val="nil"/>
            </w:tcBorders>
          </w:tcPr>
          <w:p w:rsidR="00C71845" w:rsidRDefault="00E9178D" w:rsidP="007437B6">
            <w:pPr>
              <w:tabs>
                <w:tab w:val="left" w:pos="1695"/>
              </w:tabs>
              <w:spacing w:before="80" w:after="80"/>
              <w:rPr>
                <w:rFonts w:cs="Times New Roman"/>
              </w:rPr>
            </w:pPr>
            <w:r w:rsidRPr="00902345">
              <w:rPr>
                <w:rFonts w:cs="Times New Roman"/>
              </w:rPr>
              <w:t xml:space="preserve">Some </w:t>
            </w:r>
            <w:r>
              <w:rPr>
                <w:rFonts w:cs="Times New Roman"/>
              </w:rPr>
              <w:t>c</w:t>
            </w:r>
            <w:r w:rsidRPr="00902345">
              <w:rPr>
                <w:rFonts w:cs="Times New Roman"/>
              </w:rPr>
              <w:t>ollege</w:t>
            </w:r>
            <w:r w:rsidR="00123953">
              <w:rPr>
                <w:rFonts w:cs="Times New Roman"/>
              </w:rPr>
              <w:tab/>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8</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38</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High </w:t>
            </w:r>
            <w:r>
              <w:rPr>
                <w:rFonts w:cs="Times New Roman"/>
              </w:rPr>
              <w:t>s</w:t>
            </w:r>
            <w:r w:rsidRPr="00902345">
              <w:rPr>
                <w:rFonts w:cs="Times New Roman"/>
              </w:rPr>
              <w:t>chool</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Pr>
                <w:rFonts w:cs="Times New Roman"/>
              </w:rPr>
              <w:t xml:space="preserve">  </w:t>
            </w:r>
            <w:r w:rsidRPr="00902345">
              <w:rPr>
                <w:rFonts w:cs="Times New Roman"/>
              </w:rPr>
              <w:t>9</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38</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Some </w:t>
            </w:r>
            <w:r>
              <w:rPr>
                <w:rFonts w:cs="Times New Roman"/>
              </w:rPr>
              <w:t>c</w:t>
            </w:r>
            <w:r w:rsidRPr="00902345">
              <w:rPr>
                <w:rFonts w:cs="Times New Roman"/>
              </w:rPr>
              <w:t>ollege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sidRPr="00902345">
              <w:rPr>
                <w:rFonts w:cs="Times New Roman"/>
              </w:rPr>
              <w:t>10</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51</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Some </w:t>
            </w:r>
            <w:r>
              <w:rPr>
                <w:rFonts w:cs="Times New Roman"/>
              </w:rPr>
              <w:t>c</w:t>
            </w:r>
            <w:r w:rsidRPr="00902345">
              <w:rPr>
                <w:rFonts w:cs="Times New Roman"/>
              </w:rPr>
              <w:t>ollege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sidRPr="00902345">
              <w:rPr>
                <w:rFonts w:cs="Times New Roman"/>
              </w:rPr>
              <w:t>11</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39</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Some </w:t>
            </w:r>
            <w:r>
              <w:rPr>
                <w:rFonts w:cs="Times New Roman"/>
              </w:rPr>
              <w:t>c</w:t>
            </w:r>
            <w:r w:rsidRPr="00902345">
              <w:rPr>
                <w:rFonts w:cs="Times New Roman"/>
              </w:rPr>
              <w:t>ollege</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sidRPr="00902345">
              <w:rPr>
                <w:rFonts w:cs="Times New Roman"/>
              </w:rPr>
              <w:t>12</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36</w:t>
            </w:r>
          </w:p>
        </w:tc>
        <w:tc>
          <w:tcPr>
            <w:tcW w:w="4590" w:type="dxa"/>
            <w:tcBorders>
              <w:top w:val="nil"/>
              <w:bottom w:val="nil"/>
            </w:tcBorders>
          </w:tcPr>
          <w:p w:rsidR="00C71845" w:rsidRDefault="00E9178D" w:rsidP="007437B6">
            <w:pPr>
              <w:spacing w:before="80" w:after="80"/>
              <w:rPr>
                <w:rFonts w:cs="Times New Roman"/>
              </w:rPr>
            </w:pPr>
            <w:r w:rsidRPr="00902345">
              <w:rPr>
                <w:rFonts w:cs="Times New Roman"/>
              </w:rPr>
              <w:t xml:space="preserve">High </w:t>
            </w:r>
            <w:r>
              <w:rPr>
                <w:rFonts w:cs="Times New Roman"/>
              </w:rPr>
              <w:t>s</w:t>
            </w:r>
            <w:r w:rsidRPr="00902345">
              <w:rPr>
                <w:rFonts w:cs="Times New Roman"/>
              </w:rPr>
              <w:t>chool</w:t>
            </w:r>
          </w:p>
        </w:tc>
      </w:tr>
      <w:tr w:rsidR="00E9178D" w:rsidTr="00E9178D">
        <w:tc>
          <w:tcPr>
            <w:tcW w:w="918" w:type="dxa"/>
            <w:tcBorders>
              <w:top w:val="nil"/>
              <w:bottom w:val="nil"/>
            </w:tcBorders>
          </w:tcPr>
          <w:p w:rsidR="00E9178D" w:rsidRPr="00902345" w:rsidRDefault="00E9178D" w:rsidP="007437B6">
            <w:pPr>
              <w:spacing w:before="80" w:after="80"/>
              <w:jc w:val="right"/>
              <w:rPr>
                <w:rFonts w:cs="Times New Roman"/>
              </w:rPr>
            </w:pPr>
            <w:r w:rsidRPr="00902345">
              <w:rPr>
                <w:rFonts w:cs="Times New Roman"/>
              </w:rPr>
              <w:t>13</w:t>
            </w:r>
          </w:p>
        </w:tc>
        <w:tc>
          <w:tcPr>
            <w:tcW w:w="450" w:type="dxa"/>
            <w:tcBorders>
              <w:top w:val="nil"/>
              <w:bottom w:val="nil"/>
            </w:tcBorders>
          </w:tcPr>
          <w:p w:rsidR="00E9178D" w:rsidRPr="00902345" w:rsidRDefault="00E9178D" w:rsidP="007437B6">
            <w:pPr>
              <w:spacing w:before="80" w:after="80"/>
              <w:rPr>
                <w:rFonts w:cs="Times New Roman"/>
              </w:rPr>
            </w:pPr>
          </w:p>
        </w:tc>
        <w:tc>
          <w:tcPr>
            <w:tcW w:w="923" w:type="dxa"/>
            <w:tcBorders>
              <w:top w:val="nil"/>
              <w:bottom w:val="nil"/>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nil"/>
            </w:tcBorders>
          </w:tcPr>
          <w:p w:rsidR="00E9178D" w:rsidRPr="00902345" w:rsidRDefault="00E9178D" w:rsidP="007437B6">
            <w:pPr>
              <w:spacing w:before="80" w:after="80"/>
              <w:jc w:val="center"/>
              <w:rPr>
                <w:rFonts w:cs="Times New Roman"/>
              </w:rPr>
            </w:pPr>
            <w:r w:rsidRPr="00902345">
              <w:rPr>
                <w:rFonts w:cs="Times New Roman"/>
              </w:rPr>
              <w:t>45</w:t>
            </w:r>
          </w:p>
        </w:tc>
        <w:tc>
          <w:tcPr>
            <w:tcW w:w="4590" w:type="dxa"/>
            <w:tcBorders>
              <w:top w:val="nil"/>
              <w:bottom w:val="nil"/>
            </w:tcBorders>
          </w:tcPr>
          <w:p w:rsidR="00C71845" w:rsidRDefault="00E9178D" w:rsidP="007437B6">
            <w:pPr>
              <w:spacing w:before="80" w:after="80"/>
              <w:rPr>
                <w:rFonts w:cs="Times New Roman"/>
              </w:rPr>
            </w:pPr>
            <w:r>
              <w:rPr>
                <w:rFonts w:cs="Times New Roman"/>
              </w:rPr>
              <w:t>General Educational Development</w:t>
            </w:r>
          </w:p>
        </w:tc>
      </w:tr>
      <w:tr w:rsidR="00E9178D" w:rsidRPr="00B033CF" w:rsidTr="00E9178D">
        <w:tc>
          <w:tcPr>
            <w:tcW w:w="918" w:type="dxa"/>
            <w:tcBorders>
              <w:top w:val="nil"/>
              <w:bottom w:val="single" w:sz="4" w:space="0" w:color="auto"/>
            </w:tcBorders>
          </w:tcPr>
          <w:p w:rsidR="00E9178D" w:rsidRPr="00902345" w:rsidRDefault="00E9178D" w:rsidP="007437B6">
            <w:pPr>
              <w:spacing w:before="80" w:after="80"/>
              <w:jc w:val="right"/>
              <w:rPr>
                <w:rFonts w:cs="Times New Roman"/>
              </w:rPr>
            </w:pPr>
            <w:r w:rsidRPr="00902345">
              <w:rPr>
                <w:rFonts w:cs="Times New Roman"/>
              </w:rPr>
              <w:t>14</w:t>
            </w:r>
          </w:p>
        </w:tc>
        <w:tc>
          <w:tcPr>
            <w:tcW w:w="450" w:type="dxa"/>
            <w:tcBorders>
              <w:top w:val="nil"/>
              <w:bottom w:val="single" w:sz="4" w:space="0" w:color="auto"/>
            </w:tcBorders>
          </w:tcPr>
          <w:p w:rsidR="00E9178D" w:rsidRPr="00902345" w:rsidRDefault="00E9178D" w:rsidP="007437B6">
            <w:pPr>
              <w:spacing w:before="80" w:after="80"/>
              <w:rPr>
                <w:rFonts w:cs="Times New Roman"/>
              </w:rPr>
            </w:pPr>
          </w:p>
        </w:tc>
        <w:tc>
          <w:tcPr>
            <w:tcW w:w="923" w:type="dxa"/>
            <w:tcBorders>
              <w:top w:val="nil"/>
              <w:bottom w:val="single" w:sz="4" w:space="0" w:color="auto"/>
            </w:tcBorders>
          </w:tcPr>
          <w:p w:rsidR="00E9178D" w:rsidRPr="00902345" w:rsidRDefault="00E9178D" w:rsidP="007437B6">
            <w:pPr>
              <w:spacing w:before="80" w:after="80"/>
              <w:rPr>
                <w:rFonts w:cs="Times New Roman"/>
              </w:rPr>
            </w:pPr>
            <w:r w:rsidRPr="00902345">
              <w:rPr>
                <w:rFonts w:cs="Times New Roman"/>
              </w:rPr>
              <w:t>Female</w:t>
            </w:r>
          </w:p>
        </w:tc>
        <w:tc>
          <w:tcPr>
            <w:tcW w:w="1867" w:type="dxa"/>
            <w:tcBorders>
              <w:top w:val="nil"/>
              <w:bottom w:val="single" w:sz="4" w:space="0" w:color="auto"/>
            </w:tcBorders>
          </w:tcPr>
          <w:p w:rsidR="00E9178D" w:rsidRPr="00902345" w:rsidRDefault="00E9178D" w:rsidP="007437B6">
            <w:pPr>
              <w:spacing w:before="80" w:after="80"/>
              <w:jc w:val="center"/>
              <w:rPr>
                <w:rFonts w:cs="Times New Roman"/>
              </w:rPr>
            </w:pPr>
            <w:r w:rsidRPr="00902345">
              <w:rPr>
                <w:rFonts w:cs="Times New Roman"/>
              </w:rPr>
              <w:t>34</w:t>
            </w:r>
          </w:p>
        </w:tc>
        <w:tc>
          <w:tcPr>
            <w:tcW w:w="4590" w:type="dxa"/>
            <w:tcBorders>
              <w:top w:val="nil"/>
              <w:bottom w:val="single" w:sz="4" w:space="0" w:color="auto"/>
            </w:tcBorders>
          </w:tcPr>
          <w:p w:rsidR="00C71845" w:rsidRDefault="00E9178D" w:rsidP="007437B6">
            <w:pPr>
              <w:spacing w:before="80" w:after="80"/>
              <w:rPr>
                <w:rFonts w:cs="Times New Roman"/>
              </w:rPr>
            </w:pPr>
            <w:r w:rsidRPr="00902345">
              <w:rPr>
                <w:rFonts w:cs="Times New Roman"/>
              </w:rPr>
              <w:t xml:space="preserve">Some </w:t>
            </w:r>
            <w:r>
              <w:rPr>
                <w:rFonts w:cs="Times New Roman"/>
              </w:rPr>
              <w:t>c</w:t>
            </w:r>
            <w:r w:rsidRPr="00902345">
              <w:rPr>
                <w:rFonts w:cs="Times New Roman"/>
              </w:rPr>
              <w:t>ollege</w:t>
            </w:r>
          </w:p>
        </w:tc>
      </w:tr>
    </w:tbl>
    <w:p w:rsidR="00721797" w:rsidRPr="000073A0" w:rsidRDefault="000073A0" w:rsidP="009D7076">
      <w:pPr>
        <w:spacing w:line="480" w:lineRule="auto"/>
      </w:pPr>
      <w:bookmarkStart w:id="25" w:name="_Toc222132555"/>
      <w:bookmarkStart w:id="26" w:name="_Toc251424089"/>
      <w:r w:rsidRPr="000073A0">
        <w:rPr>
          <w:vertAlign w:val="superscript"/>
        </w:rPr>
        <w:t>a</w:t>
      </w:r>
      <w:r w:rsidRPr="000073A0">
        <w:t>General Educational Development refers to the commonly known GED.</w:t>
      </w:r>
    </w:p>
    <w:p w:rsidR="007C4F84" w:rsidRDefault="007C4F84" w:rsidP="00AB530C">
      <w:pPr>
        <w:spacing w:line="480" w:lineRule="auto"/>
        <w:ind w:firstLine="720"/>
        <w:rPr>
          <w:rFonts w:cs="Times New Roman"/>
        </w:rPr>
      </w:pPr>
      <w:r>
        <w:rPr>
          <w:rFonts w:cs="Times New Roman"/>
        </w:rPr>
        <w:t>Following is a restatement of Research Question 1</w:t>
      </w:r>
      <w:r w:rsidR="00397B3D">
        <w:rPr>
          <w:rFonts w:cs="Times New Roman"/>
        </w:rPr>
        <w:t xml:space="preserve"> and </w:t>
      </w:r>
      <w:r>
        <w:rPr>
          <w:rFonts w:cs="Times New Roman"/>
        </w:rPr>
        <w:t>the results for the research question.</w:t>
      </w:r>
    </w:p>
    <w:p w:rsidR="00C71845" w:rsidRDefault="007C4F84">
      <w:pPr>
        <w:spacing w:line="480" w:lineRule="auto"/>
        <w:ind w:firstLine="720"/>
        <w:rPr>
          <w:rFonts w:cs="Times New Roman"/>
        </w:rPr>
      </w:pPr>
      <w:r>
        <w:rPr>
          <w:b/>
        </w:rPr>
        <w:t xml:space="preserve">Research Question 1. </w:t>
      </w:r>
      <w:r w:rsidR="006620A9" w:rsidRPr="006620A9">
        <w:t xml:space="preserve"> How do students incorporate knowledge about their learning styles into their </w:t>
      </w:r>
      <w:r w:rsidR="006620A9" w:rsidRPr="006620A9">
        <w:rPr>
          <w:rFonts w:cs="Times New Roman"/>
        </w:rPr>
        <w:t xml:space="preserve">perceptions of online learning? </w:t>
      </w:r>
    </w:p>
    <w:p w:rsidR="00123953" w:rsidRDefault="000C43AC" w:rsidP="00BF2E33">
      <w:pPr>
        <w:spacing w:line="480" w:lineRule="auto"/>
        <w:ind w:firstLine="720"/>
      </w:pPr>
      <w:r>
        <w:t>A summary of all themes</w:t>
      </w:r>
      <w:r w:rsidR="00123953">
        <w:t xml:space="preserve"> for Research Question 1 is shown in Table 2.</w:t>
      </w:r>
    </w:p>
    <w:p w:rsidR="00123953" w:rsidRDefault="00123953" w:rsidP="00494A95">
      <w:pPr>
        <w:pStyle w:val="Caption"/>
        <w:keepNext/>
        <w:spacing w:line="480" w:lineRule="auto"/>
        <w:rPr>
          <w:rFonts w:cs="Times New Roman"/>
          <w:b w:val="0"/>
          <w:sz w:val="24"/>
          <w:szCs w:val="24"/>
        </w:rPr>
      </w:pPr>
      <w:bookmarkStart w:id="27" w:name="_Toc365304629"/>
      <w:r w:rsidRPr="00A35B4E">
        <w:rPr>
          <w:rFonts w:cs="Times New Roman"/>
          <w:b w:val="0"/>
          <w:sz w:val="24"/>
          <w:szCs w:val="24"/>
        </w:rPr>
        <w:t xml:space="preserve">Table </w:t>
      </w:r>
      <w:r w:rsidR="008A7D61" w:rsidRPr="00A35B4E">
        <w:rPr>
          <w:rFonts w:cs="Times New Roman"/>
          <w:b w:val="0"/>
          <w:sz w:val="24"/>
          <w:szCs w:val="24"/>
        </w:rPr>
        <w:fldChar w:fldCharType="begin"/>
      </w:r>
      <w:r w:rsidRPr="00A35B4E">
        <w:rPr>
          <w:rFonts w:cs="Times New Roman"/>
          <w:b w:val="0"/>
          <w:sz w:val="24"/>
          <w:szCs w:val="24"/>
        </w:rPr>
        <w:instrText xml:space="preserve"> SEQ Table \* ARABIC </w:instrText>
      </w:r>
      <w:r w:rsidR="008A7D61" w:rsidRPr="00A35B4E">
        <w:rPr>
          <w:rFonts w:cs="Times New Roman"/>
          <w:b w:val="0"/>
          <w:sz w:val="24"/>
          <w:szCs w:val="24"/>
        </w:rPr>
        <w:fldChar w:fldCharType="separate"/>
      </w:r>
      <w:r w:rsidR="00FB723A">
        <w:rPr>
          <w:rFonts w:cs="Times New Roman"/>
          <w:b w:val="0"/>
          <w:noProof/>
          <w:sz w:val="24"/>
          <w:szCs w:val="24"/>
        </w:rPr>
        <w:t>2</w:t>
      </w:r>
      <w:r w:rsidR="008A7D61" w:rsidRPr="00A35B4E">
        <w:rPr>
          <w:rFonts w:cs="Times New Roman"/>
          <w:b w:val="0"/>
          <w:sz w:val="24"/>
          <w:szCs w:val="24"/>
        </w:rPr>
        <w:fldChar w:fldCharType="end"/>
      </w:r>
      <w:r>
        <w:br/>
      </w:r>
      <w:r>
        <w:rPr>
          <w:rFonts w:cs="Times New Roman"/>
          <w:b w:val="0"/>
          <w:i/>
          <w:sz w:val="24"/>
          <w:szCs w:val="24"/>
        </w:rPr>
        <w:t>Themes Identified in Research Question 1</w:t>
      </w:r>
      <w:bookmarkEnd w:id="27"/>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128"/>
        <w:gridCol w:w="1440"/>
      </w:tblGrid>
      <w:tr w:rsidR="00123953" w:rsidTr="00123953">
        <w:tc>
          <w:tcPr>
            <w:tcW w:w="7128" w:type="dxa"/>
            <w:tcBorders>
              <w:bottom w:val="single" w:sz="4" w:space="0" w:color="auto"/>
            </w:tcBorders>
            <w:vAlign w:val="bottom"/>
          </w:tcPr>
          <w:p w:rsidR="00123953" w:rsidRPr="00902345" w:rsidRDefault="00123953" w:rsidP="000C3FAD">
            <w:pPr>
              <w:spacing w:before="120" w:after="120"/>
              <w:jc w:val="center"/>
              <w:rPr>
                <w:rFonts w:cs="Times New Roman"/>
              </w:rPr>
            </w:pPr>
            <w:r>
              <w:rPr>
                <w:rFonts w:cs="Times New Roman"/>
              </w:rPr>
              <w:t>Theme</w:t>
            </w:r>
          </w:p>
        </w:tc>
        <w:tc>
          <w:tcPr>
            <w:tcW w:w="1440" w:type="dxa"/>
            <w:tcBorders>
              <w:bottom w:val="single" w:sz="4" w:space="0" w:color="auto"/>
            </w:tcBorders>
            <w:vAlign w:val="bottom"/>
          </w:tcPr>
          <w:p w:rsidR="00123953" w:rsidRPr="00902345" w:rsidRDefault="00123953" w:rsidP="000C3FAD">
            <w:pPr>
              <w:spacing w:before="120" w:after="120"/>
              <w:jc w:val="center"/>
              <w:rPr>
                <w:rFonts w:cs="Times New Roman"/>
              </w:rPr>
            </w:pPr>
            <w:r>
              <w:rPr>
                <w:rFonts w:cs="Times New Roman"/>
              </w:rPr>
              <w:t>Number of participants</w:t>
            </w:r>
          </w:p>
        </w:tc>
      </w:tr>
      <w:tr w:rsidR="00123953" w:rsidTr="00C2533E">
        <w:trPr>
          <w:trHeight w:val="602"/>
        </w:trPr>
        <w:tc>
          <w:tcPr>
            <w:tcW w:w="7128" w:type="dxa"/>
            <w:tcBorders>
              <w:top w:val="single" w:sz="4" w:space="0" w:color="auto"/>
              <w:bottom w:val="nil"/>
            </w:tcBorders>
          </w:tcPr>
          <w:p w:rsidR="00123953" w:rsidRPr="00902345" w:rsidRDefault="00D07A48" w:rsidP="000C3FAD">
            <w:pPr>
              <w:spacing w:before="120" w:after="120"/>
              <w:rPr>
                <w:rFonts w:cs="Times New Roman"/>
              </w:rPr>
            </w:pPr>
            <w:r>
              <w:rPr>
                <w:rFonts w:cs="Times New Roman"/>
              </w:rPr>
              <w:lastRenderedPageBreak/>
              <w:t>Made no change</w:t>
            </w:r>
          </w:p>
        </w:tc>
        <w:tc>
          <w:tcPr>
            <w:tcW w:w="1440" w:type="dxa"/>
            <w:tcBorders>
              <w:top w:val="single" w:sz="4" w:space="0" w:color="auto"/>
              <w:bottom w:val="nil"/>
            </w:tcBorders>
          </w:tcPr>
          <w:p w:rsidR="00123953" w:rsidRDefault="00C2533E" w:rsidP="00C2533E">
            <w:pPr>
              <w:spacing w:before="120" w:after="120"/>
              <w:jc w:val="center"/>
              <w:rPr>
                <w:rFonts w:cs="Times New Roman"/>
              </w:rPr>
            </w:pPr>
            <w:r>
              <w:rPr>
                <w:rFonts w:cs="Times New Roman"/>
              </w:rPr>
              <w:t>6</w:t>
            </w:r>
            <w:r w:rsidR="00252AC7">
              <w:rPr>
                <w:rFonts w:cs="Times New Roman"/>
              </w:rPr>
              <w:t xml:space="preserve"> (43%)</w:t>
            </w:r>
          </w:p>
        </w:tc>
      </w:tr>
      <w:tr w:rsidR="00123953" w:rsidTr="00123953">
        <w:tc>
          <w:tcPr>
            <w:tcW w:w="7128" w:type="dxa"/>
            <w:tcBorders>
              <w:top w:val="nil"/>
              <w:bottom w:val="nil"/>
            </w:tcBorders>
          </w:tcPr>
          <w:p w:rsidR="00123953" w:rsidRPr="00D07A48" w:rsidRDefault="00D07A48" w:rsidP="000C3FAD">
            <w:pPr>
              <w:spacing w:before="120" w:after="120"/>
              <w:rPr>
                <w:rFonts w:cs="Times New Roman"/>
              </w:rPr>
            </w:pPr>
            <w:r w:rsidRPr="00D07A48">
              <w:t>Gained more confidence, felt less intimidation</w:t>
            </w:r>
          </w:p>
        </w:tc>
        <w:tc>
          <w:tcPr>
            <w:tcW w:w="1440" w:type="dxa"/>
            <w:tcBorders>
              <w:top w:val="nil"/>
              <w:bottom w:val="nil"/>
            </w:tcBorders>
          </w:tcPr>
          <w:p w:rsidR="00123953" w:rsidRDefault="00C2533E" w:rsidP="00C2533E">
            <w:pPr>
              <w:spacing w:before="120" w:after="120"/>
              <w:jc w:val="center"/>
              <w:rPr>
                <w:rFonts w:cs="Times New Roman"/>
              </w:rPr>
            </w:pPr>
            <w:r>
              <w:rPr>
                <w:rFonts w:cs="Times New Roman"/>
              </w:rPr>
              <w:t>6</w:t>
            </w:r>
            <w:r w:rsidR="00252AC7">
              <w:rPr>
                <w:rFonts w:cs="Times New Roman"/>
              </w:rPr>
              <w:t xml:space="preserve"> (43%)</w:t>
            </w:r>
          </w:p>
        </w:tc>
      </w:tr>
      <w:tr w:rsidR="00123953" w:rsidRPr="00B033CF" w:rsidTr="00123953">
        <w:tc>
          <w:tcPr>
            <w:tcW w:w="7128" w:type="dxa"/>
            <w:tcBorders>
              <w:top w:val="nil"/>
              <w:bottom w:val="single" w:sz="4" w:space="0" w:color="auto"/>
            </w:tcBorders>
          </w:tcPr>
          <w:p w:rsidR="00123953" w:rsidRPr="00D07A48" w:rsidRDefault="00D07A48" w:rsidP="000C3FAD">
            <w:pPr>
              <w:spacing w:before="120" w:after="120"/>
              <w:rPr>
                <w:rFonts w:cs="Times New Roman"/>
              </w:rPr>
            </w:pPr>
            <w:r w:rsidRPr="00D07A48">
              <w:rPr>
                <w:rFonts w:cs="Times New Roman"/>
              </w:rPr>
              <w:t>Realized online learning was more suited to some learning styles than to other styles</w:t>
            </w:r>
          </w:p>
        </w:tc>
        <w:tc>
          <w:tcPr>
            <w:tcW w:w="1440" w:type="dxa"/>
            <w:tcBorders>
              <w:top w:val="nil"/>
              <w:bottom w:val="single" w:sz="4" w:space="0" w:color="auto"/>
            </w:tcBorders>
          </w:tcPr>
          <w:p w:rsidR="00123953" w:rsidRDefault="00C2533E" w:rsidP="00C2533E">
            <w:pPr>
              <w:spacing w:before="120" w:after="120"/>
              <w:jc w:val="center"/>
              <w:rPr>
                <w:rFonts w:cs="Times New Roman"/>
              </w:rPr>
            </w:pPr>
            <w:r>
              <w:rPr>
                <w:rFonts w:cs="Times New Roman"/>
              </w:rPr>
              <w:t>5</w:t>
            </w:r>
            <w:r w:rsidR="00252AC7">
              <w:rPr>
                <w:rFonts w:cs="Times New Roman"/>
              </w:rPr>
              <w:t xml:space="preserve"> (36%)</w:t>
            </w:r>
          </w:p>
        </w:tc>
      </w:tr>
    </w:tbl>
    <w:p w:rsidR="00123953" w:rsidRPr="00C2533E" w:rsidRDefault="00C2533E" w:rsidP="00C2533E">
      <w:pPr>
        <w:spacing w:before="120" w:line="480" w:lineRule="auto"/>
      </w:pPr>
      <w:r w:rsidRPr="00C2533E">
        <w:rPr>
          <w:i/>
        </w:rPr>
        <w:t xml:space="preserve">Note.  n </w:t>
      </w:r>
      <w:r w:rsidRPr="00C2533E">
        <w:t>= 14.</w:t>
      </w:r>
    </w:p>
    <w:p w:rsidR="00491E5A" w:rsidRDefault="00491E5A" w:rsidP="00491E5A">
      <w:pPr>
        <w:spacing w:line="480" w:lineRule="auto"/>
        <w:ind w:firstLine="720"/>
        <w:rPr>
          <w:rFonts w:cs="Times New Roman"/>
        </w:rPr>
      </w:pPr>
      <w:r>
        <w:rPr>
          <w:rFonts w:cs="Times New Roman"/>
        </w:rPr>
        <w:t>Following is a restatement of Research Question 2</w:t>
      </w:r>
      <w:r w:rsidR="00397B3D">
        <w:rPr>
          <w:rFonts w:cs="Times New Roman"/>
        </w:rPr>
        <w:t xml:space="preserve"> and </w:t>
      </w:r>
      <w:r>
        <w:rPr>
          <w:rFonts w:cs="Times New Roman"/>
        </w:rPr>
        <w:t>the results for the research question.</w:t>
      </w:r>
    </w:p>
    <w:p w:rsidR="00BF2E33" w:rsidRPr="00491E5A" w:rsidRDefault="00491E5A" w:rsidP="00491E5A">
      <w:pPr>
        <w:spacing w:line="480" w:lineRule="auto"/>
        <w:ind w:firstLine="720"/>
      </w:pPr>
      <w:r>
        <w:rPr>
          <w:b/>
        </w:rPr>
        <w:t xml:space="preserve">Research Question 2. </w:t>
      </w:r>
      <w:r w:rsidRPr="00573D22">
        <w:t xml:space="preserve"> </w:t>
      </w:r>
      <w:r w:rsidR="006620A9" w:rsidRPr="006620A9">
        <w:t xml:space="preserve">How do students incorporate knowledge about their learning styles in terms of their feelings of preparedness for online leaning? </w:t>
      </w:r>
    </w:p>
    <w:p w:rsidR="00FE20CC" w:rsidRDefault="00FE20CC" w:rsidP="007E305F">
      <w:pPr>
        <w:pStyle w:val="Caption"/>
        <w:keepNext/>
        <w:spacing w:line="480" w:lineRule="auto"/>
        <w:rPr>
          <w:rFonts w:cs="Times New Roman"/>
          <w:b w:val="0"/>
          <w:sz w:val="24"/>
          <w:szCs w:val="24"/>
        </w:rPr>
      </w:pPr>
      <w:bookmarkStart w:id="28" w:name="_Toc365304630"/>
      <w:r w:rsidRPr="00A35B4E">
        <w:rPr>
          <w:rFonts w:cs="Times New Roman"/>
          <w:b w:val="0"/>
          <w:sz w:val="24"/>
          <w:szCs w:val="24"/>
        </w:rPr>
        <w:t xml:space="preserve">Table </w:t>
      </w:r>
      <w:r w:rsidR="008A7D61" w:rsidRPr="00A35B4E">
        <w:rPr>
          <w:rFonts w:cs="Times New Roman"/>
          <w:b w:val="0"/>
          <w:sz w:val="24"/>
          <w:szCs w:val="24"/>
        </w:rPr>
        <w:fldChar w:fldCharType="begin"/>
      </w:r>
      <w:r w:rsidRPr="00A35B4E">
        <w:rPr>
          <w:rFonts w:cs="Times New Roman"/>
          <w:b w:val="0"/>
          <w:sz w:val="24"/>
          <w:szCs w:val="24"/>
        </w:rPr>
        <w:instrText xml:space="preserve"> SEQ Table \* ARABIC </w:instrText>
      </w:r>
      <w:r w:rsidR="008A7D61" w:rsidRPr="00A35B4E">
        <w:rPr>
          <w:rFonts w:cs="Times New Roman"/>
          <w:b w:val="0"/>
          <w:sz w:val="24"/>
          <w:szCs w:val="24"/>
        </w:rPr>
        <w:fldChar w:fldCharType="separate"/>
      </w:r>
      <w:r w:rsidR="00FB723A">
        <w:rPr>
          <w:rFonts w:cs="Times New Roman"/>
          <w:b w:val="0"/>
          <w:noProof/>
          <w:sz w:val="24"/>
          <w:szCs w:val="24"/>
        </w:rPr>
        <w:t>3</w:t>
      </w:r>
      <w:r w:rsidR="008A7D61" w:rsidRPr="00A35B4E">
        <w:rPr>
          <w:rFonts w:cs="Times New Roman"/>
          <w:b w:val="0"/>
          <w:sz w:val="24"/>
          <w:szCs w:val="24"/>
        </w:rPr>
        <w:fldChar w:fldCharType="end"/>
      </w:r>
      <w:r>
        <w:br/>
      </w:r>
      <w:r>
        <w:rPr>
          <w:rFonts w:cs="Times New Roman"/>
          <w:b w:val="0"/>
          <w:i/>
          <w:sz w:val="24"/>
          <w:szCs w:val="24"/>
        </w:rPr>
        <w:t>Themes Identified in Research Question 2</w:t>
      </w:r>
      <w:bookmarkEnd w:id="28"/>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7128"/>
        <w:gridCol w:w="1440"/>
      </w:tblGrid>
      <w:tr w:rsidR="00FE20CC" w:rsidTr="000C3FAD">
        <w:tc>
          <w:tcPr>
            <w:tcW w:w="7128" w:type="dxa"/>
            <w:tcBorders>
              <w:bottom w:val="single" w:sz="4" w:space="0" w:color="auto"/>
            </w:tcBorders>
            <w:vAlign w:val="bottom"/>
          </w:tcPr>
          <w:p w:rsidR="00FE20CC" w:rsidRPr="00902345" w:rsidRDefault="00FE20CC" w:rsidP="000C3FAD">
            <w:pPr>
              <w:spacing w:before="120" w:after="120"/>
              <w:jc w:val="center"/>
              <w:rPr>
                <w:rFonts w:cs="Times New Roman"/>
              </w:rPr>
            </w:pPr>
            <w:r>
              <w:rPr>
                <w:rFonts w:cs="Times New Roman"/>
              </w:rPr>
              <w:t>Theme</w:t>
            </w:r>
          </w:p>
        </w:tc>
        <w:tc>
          <w:tcPr>
            <w:tcW w:w="1440" w:type="dxa"/>
            <w:tcBorders>
              <w:bottom w:val="single" w:sz="4" w:space="0" w:color="auto"/>
            </w:tcBorders>
            <w:vAlign w:val="bottom"/>
          </w:tcPr>
          <w:p w:rsidR="00FE20CC" w:rsidRPr="00902345" w:rsidRDefault="00FE20CC" w:rsidP="000C3FAD">
            <w:pPr>
              <w:spacing w:before="120" w:after="120"/>
              <w:jc w:val="center"/>
              <w:rPr>
                <w:rFonts w:cs="Times New Roman"/>
              </w:rPr>
            </w:pPr>
            <w:r>
              <w:rPr>
                <w:rFonts w:cs="Times New Roman"/>
              </w:rPr>
              <w:t>Number of participants</w:t>
            </w:r>
          </w:p>
        </w:tc>
      </w:tr>
      <w:tr w:rsidR="00FE20CC" w:rsidTr="000C3FAD">
        <w:trPr>
          <w:trHeight w:val="602"/>
        </w:trPr>
        <w:tc>
          <w:tcPr>
            <w:tcW w:w="7128" w:type="dxa"/>
            <w:tcBorders>
              <w:top w:val="single" w:sz="4" w:space="0" w:color="auto"/>
              <w:bottom w:val="nil"/>
            </w:tcBorders>
          </w:tcPr>
          <w:p w:rsidR="00FE20CC" w:rsidRPr="00175116" w:rsidRDefault="00FE20CC" w:rsidP="000C3FAD">
            <w:pPr>
              <w:spacing w:before="120" w:after="120"/>
              <w:rPr>
                <w:rFonts w:cs="Times New Roman"/>
              </w:rPr>
            </w:pPr>
            <w:r w:rsidRPr="00175116">
              <w:t>Felt more prepared for online learning</w:t>
            </w:r>
          </w:p>
        </w:tc>
        <w:tc>
          <w:tcPr>
            <w:tcW w:w="1440" w:type="dxa"/>
            <w:tcBorders>
              <w:top w:val="single" w:sz="4" w:space="0" w:color="auto"/>
              <w:bottom w:val="nil"/>
            </w:tcBorders>
          </w:tcPr>
          <w:p w:rsidR="00FE20CC" w:rsidRDefault="00252AC7" w:rsidP="000C3FAD">
            <w:pPr>
              <w:spacing w:before="120" w:after="120"/>
              <w:jc w:val="center"/>
              <w:rPr>
                <w:rFonts w:cs="Times New Roman"/>
              </w:rPr>
            </w:pPr>
            <w:r>
              <w:rPr>
                <w:rFonts w:cs="Times New Roman"/>
              </w:rPr>
              <w:t xml:space="preserve">  7 (50%)</w:t>
            </w:r>
          </w:p>
        </w:tc>
      </w:tr>
      <w:tr w:rsidR="00FE20CC" w:rsidTr="000C3FAD">
        <w:tc>
          <w:tcPr>
            <w:tcW w:w="7128" w:type="dxa"/>
            <w:tcBorders>
              <w:top w:val="nil"/>
              <w:bottom w:val="nil"/>
            </w:tcBorders>
          </w:tcPr>
          <w:p w:rsidR="00FE20CC" w:rsidRPr="00175116" w:rsidRDefault="00550B7D" w:rsidP="000C3FAD">
            <w:pPr>
              <w:spacing w:before="120" w:after="120"/>
              <w:rPr>
                <w:rFonts w:cs="Times New Roman"/>
              </w:rPr>
            </w:pPr>
            <w:r w:rsidRPr="00175116">
              <w:t>Changing the study environment</w:t>
            </w:r>
          </w:p>
        </w:tc>
        <w:tc>
          <w:tcPr>
            <w:tcW w:w="1440" w:type="dxa"/>
            <w:tcBorders>
              <w:top w:val="nil"/>
              <w:bottom w:val="nil"/>
            </w:tcBorders>
          </w:tcPr>
          <w:p w:rsidR="00FE20CC" w:rsidRDefault="00252AC7" w:rsidP="000C3FAD">
            <w:pPr>
              <w:spacing w:before="120" w:after="120"/>
              <w:jc w:val="center"/>
              <w:rPr>
                <w:rFonts w:cs="Times New Roman"/>
              </w:rPr>
            </w:pPr>
            <w:r>
              <w:rPr>
                <w:rFonts w:cs="Times New Roman"/>
              </w:rPr>
              <w:t xml:space="preserve">  4 (29%)</w:t>
            </w:r>
          </w:p>
        </w:tc>
      </w:tr>
      <w:tr w:rsidR="00FE20CC" w:rsidTr="000C3FAD">
        <w:tc>
          <w:tcPr>
            <w:tcW w:w="7128" w:type="dxa"/>
            <w:tcBorders>
              <w:top w:val="nil"/>
              <w:bottom w:val="nil"/>
            </w:tcBorders>
          </w:tcPr>
          <w:p w:rsidR="00FE20CC" w:rsidRPr="00175116" w:rsidRDefault="003546D6" w:rsidP="000C3FAD">
            <w:pPr>
              <w:spacing w:before="120" w:after="120"/>
              <w:rPr>
                <w:rFonts w:cs="Times New Roman"/>
              </w:rPr>
            </w:pPr>
            <w:r w:rsidRPr="00175116">
              <w:t>Changing the approach to studying</w:t>
            </w:r>
          </w:p>
        </w:tc>
        <w:tc>
          <w:tcPr>
            <w:tcW w:w="1440" w:type="dxa"/>
            <w:tcBorders>
              <w:top w:val="nil"/>
              <w:bottom w:val="nil"/>
            </w:tcBorders>
          </w:tcPr>
          <w:p w:rsidR="00FE20CC" w:rsidRDefault="00252AC7" w:rsidP="000C3FAD">
            <w:pPr>
              <w:spacing w:before="120" w:after="120"/>
              <w:jc w:val="center"/>
              <w:rPr>
                <w:rFonts w:cs="Times New Roman"/>
              </w:rPr>
            </w:pPr>
            <w:r>
              <w:rPr>
                <w:rFonts w:cs="Times New Roman"/>
              </w:rPr>
              <w:t>10 (71%)</w:t>
            </w:r>
          </w:p>
        </w:tc>
      </w:tr>
      <w:tr w:rsidR="00FE20CC" w:rsidRPr="00B033CF" w:rsidTr="000C3FAD">
        <w:tc>
          <w:tcPr>
            <w:tcW w:w="7128" w:type="dxa"/>
            <w:tcBorders>
              <w:top w:val="nil"/>
              <w:bottom w:val="single" w:sz="4" w:space="0" w:color="auto"/>
            </w:tcBorders>
          </w:tcPr>
          <w:p w:rsidR="00FE20CC" w:rsidRPr="00175116" w:rsidRDefault="003546D6" w:rsidP="000C3FAD">
            <w:pPr>
              <w:spacing w:before="120" w:after="120"/>
              <w:rPr>
                <w:rFonts w:cs="Times New Roman"/>
              </w:rPr>
            </w:pPr>
            <w:r w:rsidRPr="00175116">
              <w:rPr>
                <w:rFonts w:cs="Times New Roman"/>
              </w:rPr>
              <w:t>Becoming aware of one’s own style</w:t>
            </w:r>
          </w:p>
        </w:tc>
        <w:tc>
          <w:tcPr>
            <w:tcW w:w="1440" w:type="dxa"/>
            <w:tcBorders>
              <w:top w:val="nil"/>
              <w:bottom w:val="single" w:sz="4" w:space="0" w:color="auto"/>
            </w:tcBorders>
          </w:tcPr>
          <w:p w:rsidR="00FE20CC" w:rsidRDefault="00252AC7" w:rsidP="000C3FAD">
            <w:pPr>
              <w:spacing w:before="120" w:after="120"/>
              <w:jc w:val="center"/>
              <w:rPr>
                <w:rFonts w:cs="Times New Roman"/>
              </w:rPr>
            </w:pPr>
            <w:r>
              <w:rPr>
                <w:rFonts w:cs="Times New Roman"/>
              </w:rPr>
              <w:t>13 (93%)</w:t>
            </w:r>
          </w:p>
        </w:tc>
      </w:tr>
    </w:tbl>
    <w:p w:rsidR="00FE20CC" w:rsidRPr="00C2533E" w:rsidRDefault="00FE20CC" w:rsidP="00FE20CC">
      <w:pPr>
        <w:spacing w:before="120" w:line="480" w:lineRule="auto"/>
      </w:pPr>
      <w:r w:rsidRPr="00C2533E">
        <w:rPr>
          <w:i/>
        </w:rPr>
        <w:t xml:space="preserve">Note.  n </w:t>
      </w:r>
      <w:r w:rsidRPr="00C2533E">
        <w:t>= 14.</w:t>
      </w:r>
    </w:p>
    <w:p w:rsidR="00B32050" w:rsidRPr="00EA1AF2" w:rsidRDefault="00B32050" w:rsidP="00C74EFE">
      <w:pPr>
        <w:pStyle w:val="Heading2"/>
      </w:pPr>
      <w:bookmarkStart w:id="29" w:name="_Toc222132559"/>
      <w:bookmarkStart w:id="30" w:name="_Toc251424093"/>
      <w:bookmarkStart w:id="31" w:name="_Toc365469984"/>
      <w:bookmarkEnd w:id="25"/>
      <w:bookmarkEnd w:id="26"/>
      <w:r w:rsidRPr="00EA1AF2">
        <w:t>Recommendations</w:t>
      </w:r>
      <w:bookmarkEnd w:id="29"/>
      <w:bookmarkEnd w:id="30"/>
      <w:bookmarkEnd w:id="31"/>
    </w:p>
    <w:p w:rsidR="00437E44" w:rsidRDefault="00A53A29" w:rsidP="004676E6">
      <w:pPr>
        <w:spacing w:line="480" w:lineRule="auto"/>
        <w:ind w:firstLine="720"/>
        <w:rPr>
          <w:rFonts w:cs="Times New Roman"/>
        </w:rPr>
      </w:pPr>
      <w:r>
        <w:rPr>
          <w:rFonts w:cs="Times New Roman"/>
          <w:b/>
        </w:rPr>
        <w:t xml:space="preserve">Practical recommendations.  </w:t>
      </w:r>
      <w:r w:rsidR="00846A6E">
        <w:rPr>
          <w:rFonts w:cs="Times New Roman"/>
        </w:rPr>
        <w:t>Based on t</w:t>
      </w:r>
      <w:r w:rsidR="00C8160E">
        <w:rPr>
          <w:rFonts w:cs="Times New Roman"/>
        </w:rPr>
        <w:t>he findings of the current study</w:t>
      </w:r>
      <w:r w:rsidR="00846A6E">
        <w:rPr>
          <w:rFonts w:cs="Times New Roman"/>
        </w:rPr>
        <w:t xml:space="preserve">, several practical applications are suggested. </w:t>
      </w:r>
      <w:r w:rsidR="00C8160E">
        <w:rPr>
          <w:rFonts w:cs="Times New Roman"/>
        </w:rPr>
        <w:t xml:space="preserve"> </w:t>
      </w:r>
      <w:r w:rsidR="00D57361">
        <w:rPr>
          <w:rFonts w:cs="Times New Roman"/>
        </w:rPr>
        <w:t>It is recommended that u</w:t>
      </w:r>
      <w:r w:rsidR="009F6777">
        <w:rPr>
          <w:rFonts w:cs="Times New Roman"/>
        </w:rPr>
        <w:t xml:space="preserve">niversity administrators, course designers, and instructors educate </w:t>
      </w:r>
      <w:r w:rsidR="00241697">
        <w:rPr>
          <w:rFonts w:cs="Times New Roman"/>
        </w:rPr>
        <w:t xml:space="preserve">first time </w:t>
      </w:r>
      <w:r w:rsidR="009F6777">
        <w:rPr>
          <w:rFonts w:cs="Times New Roman"/>
        </w:rPr>
        <w:t>online learners about their personal learning styles early in their educational journey</w:t>
      </w:r>
      <w:r w:rsidR="0066256E">
        <w:rPr>
          <w:rFonts w:cs="Times New Roman"/>
        </w:rPr>
        <w:t xml:space="preserve">.  </w:t>
      </w:r>
      <w:r w:rsidR="00D57361">
        <w:rPr>
          <w:rFonts w:cs="Times New Roman"/>
        </w:rPr>
        <w:t xml:space="preserve">Given the diversity of online students, determining ways to prepare them effectively is </w:t>
      </w:r>
      <w:r w:rsidR="00C8160E">
        <w:rPr>
          <w:rFonts w:cs="Times New Roman"/>
        </w:rPr>
        <w:t>important</w:t>
      </w:r>
      <w:r w:rsidR="00D57361">
        <w:rPr>
          <w:rFonts w:cs="Times New Roman"/>
        </w:rPr>
        <w:t xml:space="preserve">. </w:t>
      </w:r>
      <w:r w:rsidR="00C8160E">
        <w:rPr>
          <w:rFonts w:cs="Times New Roman"/>
        </w:rPr>
        <w:t xml:space="preserve"> </w:t>
      </w:r>
      <w:r w:rsidR="00D57361">
        <w:rPr>
          <w:rFonts w:cs="Times New Roman"/>
        </w:rPr>
        <w:t xml:space="preserve">The identification of </w:t>
      </w:r>
      <w:r w:rsidR="00C8160E">
        <w:rPr>
          <w:rFonts w:cs="Times New Roman"/>
        </w:rPr>
        <w:t xml:space="preserve">learning </w:t>
      </w:r>
      <w:r w:rsidR="00C8160E">
        <w:rPr>
          <w:rFonts w:cs="Times New Roman"/>
        </w:rPr>
        <w:lastRenderedPageBreak/>
        <w:t xml:space="preserve">preferences </w:t>
      </w:r>
      <w:r w:rsidR="00D57361">
        <w:rPr>
          <w:rFonts w:cs="Times New Roman"/>
        </w:rPr>
        <w:t xml:space="preserve">is most useful </w:t>
      </w:r>
      <w:r w:rsidR="00C8160E">
        <w:rPr>
          <w:rFonts w:cs="Times New Roman"/>
        </w:rPr>
        <w:t xml:space="preserve">at the beginning of </w:t>
      </w:r>
      <w:r w:rsidR="00D57361">
        <w:rPr>
          <w:rFonts w:cs="Times New Roman"/>
        </w:rPr>
        <w:t xml:space="preserve">an </w:t>
      </w:r>
      <w:r w:rsidR="00C8160E">
        <w:rPr>
          <w:rFonts w:cs="Times New Roman"/>
        </w:rPr>
        <w:t>education</w:t>
      </w:r>
      <w:r w:rsidR="00D57361">
        <w:rPr>
          <w:rFonts w:cs="Times New Roman"/>
        </w:rPr>
        <w:t>al program</w:t>
      </w:r>
      <w:r w:rsidR="00C8160E">
        <w:rPr>
          <w:rFonts w:cs="Times New Roman"/>
        </w:rPr>
        <w:t xml:space="preserve"> (Guven &amp; Ozbek, 2007).  Although only </w:t>
      </w:r>
      <w:r w:rsidR="00241697">
        <w:rPr>
          <w:rFonts w:cs="Times New Roman"/>
        </w:rPr>
        <w:t xml:space="preserve">first time </w:t>
      </w:r>
      <w:r w:rsidR="00C8160E">
        <w:rPr>
          <w:rFonts w:cs="Times New Roman"/>
        </w:rPr>
        <w:t xml:space="preserve">online students were included in this study, other students may also discover better methods for learning and studying after discovering their learning preferences.  </w:t>
      </w:r>
    </w:p>
    <w:p w:rsidR="004676E6" w:rsidRDefault="00013FA5" w:rsidP="004676E6">
      <w:pPr>
        <w:spacing w:line="480" w:lineRule="auto"/>
        <w:ind w:firstLine="720"/>
      </w:pPr>
      <w:r>
        <w:rPr>
          <w:rFonts w:cs="Times New Roman"/>
        </w:rPr>
        <w:t>The findings of this study demonstrated that e</w:t>
      </w:r>
      <w:r w:rsidR="009F12EE" w:rsidRPr="009F12EE">
        <w:t xml:space="preserve">ducating students about their personal learning styles </w:t>
      </w:r>
      <w:r>
        <w:t xml:space="preserve">may </w:t>
      </w:r>
      <w:r w:rsidR="009F12EE" w:rsidRPr="009F12EE">
        <w:t xml:space="preserve">provide them with information that results in higher </w:t>
      </w:r>
      <w:r>
        <w:t xml:space="preserve">levels of </w:t>
      </w:r>
      <w:r w:rsidR="009F12EE" w:rsidRPr="009F12EE">
        <w:t xml:space="preserve">confidence.  </w:t>
      </w:r>
      <w:r>
        <w:t>Thus,</w:t>
      </w:r>
      <w:r w:rsidR="009F12EE" w:rsidRPr="009F12EE">
        <w:t xml:space="preserve"> course and program designers can create courses that educate students about their personal learning styles to help improve </w:t>
      </w:r>
      <w:r>
        <w:t>learner</w:t>
      </w:r>
      <w:r w:rsidR="009F12EE" w:rsidRPr="009F12EE">
        <w:t xml:space="preserve"> confidence and lower the</w:t>
      </w:r>
      <w:r>
        <w:t xml:space="preserve"> level of</w:t>
      </w:r>
      <w:r w:rsidR="009F12EE" w:rsidRPr="009F12EE">
        <w:t xml:space="preserve"> intimidation for </w:t>
      </w:r>
      <w:r w:rsidR="00241697">
        <w:t>first time</w:t>
      </w:r>
      <w:r w:rsidR="00241697" w:rsidRPr="009F12EE">
        <w:t xml:space="preserve"> </w:t>
      </w:r>
      <w:r w:rsidR="009F12EE" w:rsidRPr="009F12EE">
        <w:t>online learners.</w:t>
      </w:r>
      <w:r w:rsidR="004676E6" w:rsidRPr="00013FA5">
        <w:t xml:space="preserve">  </w:t>
      </w:r>
      <w:r w:rsidR="00C8160E" w:rsidRPr="00013FA5">
        <w:rPr>
          <w:rFonts w:cs="Times New Roman"/>
        </w:rPr>
        <w:t>Learning</w:t>
      </w:r>
      <w:r w:rsidR="00C8160E">
        <w:rPr>
          <w:rFonts w:cs="Times New Roman"/>
        </w:rPr>
        <w:t xml:space="preserve"> this information at the beginning of </w:t>
      </w:r>
      <w:r w:rsidR="00D57361">
        <w:rPr>
          <w:rFonts w:cs="Times New Roman"/>
        </w:rPr>
        <w:t xml:space="preserve">a </w:t>
      </w:r>
      <w:r w:rsidR="00C8160E">
        <w:rPr>
          <w:rFonts w:cs="Times New Roman"/>
        </w:rPr>
        <w:t xml:space="preserve">degree programs </w:t>
      </w:r>
      <w:r w:rsidR="00D57361">
        <w:rPr>
          <w:rFonts w:cs="Times New Roman"/>
        </w:rPr>
        <w:t xml:space="preserve">would allow </w:t>
      </w:r>
      <w:r w:rsidR="00C8160E">
        <w:rPr>
          <w:rFonts w:cs="Times New Roman"/>
        </w:rPr>
        <w:t xml:space="preserve">participants to use this information more effectively throughout their academic career.  When students understand their preferences, they are better prepared to use a variety of techniques to strengthen their learning (Romanelli et al., 2009).  </w:t>
      </w:r>
    </w:p>
    <w:p w:rsidR="009F6777" w:rsidRDefault="005C37B1" w:rsidP="00B32050">
      <w:pPr>
        <w:spacing w:line="480" w:lineRule="auto"/>
        <w:ind w:firstLine="720"/>
        <w:rPr>
          <w:rFonts w:cs="Times New Roman"/>
        </w:rPr>
      </w:pPr>
      <w:r>
        <w:rPr>
          <w:rFonts w:cs="Times New Roman"/>
        </w:rPr>
        <w:t>Educators in</w:t>
      </w:r>
      <w:r w:rsidR="005B5488">
        <w:rPr>
          <w:rFonts w:cs="Times New Roman"/>
        </w:rPr>
        <w:t xml:space="preserve"> online educational </w:t>
      </w:r>
      <w:r w:rsidR="00FE7704">
        <w:rPr>
          <w:rFonts w:cs="Times New Roman"/>
        </w:rPr>
        <w:t>institutions</w:t>
      </w:r>
      <w:r w:rsidR="00A64413">
        <w:rPr>
          <w:rFonts w:cs="Times New Roman"/>
        </w:rPr>
        <w:t xml:space="preserve"> </w:t>
      </w:r>
      <w:r>
        <w:rPr>
          <w:rFonts w:cs="Times New Roman"/>
        </w:rPr>
        <w:t xml:space="preserve">could </w:t>
      </w:r>
      <w:r w:rsidR="005B5488">
        <w:rPr>
          <w:rFonts w:cs="Times New Roman"/>
        </w:rPr>
        <w:t>educate learners about their personal learning styles in an orientation before courses begin or by adapting the first course that students take at the university</w:t>
      </w:r>
      <w:r w:rsidR="00013FA5">
        <w:rPr>
          <w:rFonts w:cs="Times New Roman"/>
        </w:rPr>
        <w:t xml:space="preserve">.  In this way, </w:t>
      </w:r>
      <w:r>
        <w:rPr>
          <w:rFonts w:cs="Times New Roman"/>
        </w:rPr>
        <w:t>students</w:t>
      </w:r>
      <w:r w:rsidR="00013FA5">
        <w:rPr>
          <w:rFonts w:cs="Times New Roman"/>
        </w:rPr>
        <w:t xml:space="preserve"> would</w:t>
      </w:r>
      <w:r>
        <w:rPr>
          <w:rFonts w:cs="Times New Roman"/>
        </w:rPr>
        <w:t xml:space="preserve"> have </w:t>
      </w:r>
      <w:r w:rsidR="005B5488">
        <w:rPr>
          <w:rFonts w:cs="Times New Roman"/>
        </w:rPr>
        <w:t xml:space="preserve">this information in the first weeks of their </w:t>
      </w:r>
      <w:r>
        <w:rPr>
          <w:rFonts w:cs="Times New Roman"/>
        </w:rPr>
        <w:t>program</w:t>
      </w:r>
      <w:r w:rsidR="0083288F">
        <w:rPr>
          <w:rFonts w:cs="Times New Roman"/>
        </w:rPr>
        <w:t xml:space="preserve">.  </w:t>
      </w:r>
      <w:r w:rsidR="00A80F0B">
        <w:rPr>
          <w:rFonts w:cs="Times New Roman"/>
        </w:rPr>
        <w:t xml:space="preserve">By providing this information to students as early as possible, </w:t>
      </w:r>
      <w:r w:rsidR="00E649A6">
        <w:rPr>
          <w:rFonts w:cs="Times New Roman"/>
        </w:rPr>
        <w:t>students would be</w:t>
      </w:r>
      <w:r w:rsidR="00A80F0B">
        <w:rPr>
          <w:rFonts w:cs="Times New Roman"/>
        </w:rPr>
        <w:t xml:space="preserve"> able to incorporate this knowledge at the start of their degree program to become more confident, more prepared, and better able to establish the environment and approach to their education. </w:t>
      </w:r>
      <w:r w:rsidR="009F6777">
        <w:rPr>
          <w:rFonts w:cs="Times New Roman"/>
        </w:rPr>
        <w:t xml:space="preserve"> </w:t>
      </w:r>
    </w:p>
    <w:p w:rsidR="00B32050" w:rsidRPr="00EA1AF2" w:rsidRDefault="00B32050" w:rsidP="00C74EFE">
      <w:pPr>
        <w:pStyle w:val="Heading2"/>
      </w:pPr>
      <w:bookmarkStart w:id="32" w:name="_Toc222132560"/>
      <w:bookmarkStart w:id="33" w:name="_Toc251424094"/>
      <w:bookmarkStart w:id="34" w:name="_Toc365469985"/>
      <w:r w:rsidRPr="00EA1AF2">
        <w:t>Conclusions</w:t>
      </w:r>
      <w:bookmarkEnd w:id="32"/>
      <w:bookmarkEnd w:id="33"/>
      <w:bookmarkEnd w:id="34"/>
    </w:p>
    <w:p w:rsidR="00B32050" w:rsidRPr="00EA1AF2" w:rsidRDefault="008779C0" w:rsidP="00B32050">
      <w:pPr>
        <w:spacing w:line="480" w:lineRule="auto"/>
        <w:ind w:firstLine="720"/>
        <w:rPr>
          <w:rFonts w:cs="Times New Roman"/>
        </w:rPr>
      </w:pPr>
      <w:r>
        <w:rPr>
          <w:rFonts w:cs="Times New Roman"/>
        </w:rPr>
        <w:t>The results of this study indicated that</w:t>
      </w:r>
      <w:r w:rsidR="009F12EE" w:rsidRPr="009F12EE">
        <w:rPr>
          <w:rFonts w:cs="Times New Roman"/>
        </w:rPr>
        <w:t xml:space="preserve"> </w:t>
      </w:r>
      <w:r>
        <w:rPr>
          <w:rFonts w:cs="Times New Roman"/>
        </w:rPr>
        <w:t>many of the</w:t>
      </w:r>
      <w:r w:rsidR="009F12EE" w:rsidRPr="009F12EE">
        <w:rPr>
          <w:rFonts w:cs="Times New Roman"/>
        </w:rPr>
        <w:t xml:space="preserve"> participants experienced a change in their perceptions of online learning</w:t>
      </w:r>
      <w:r>
        <w:rPr>
          <w:rFonts w:cs="Times New Roman"/>
        </w:rPr>
        <w:t>, in some cases</w:t>
      </w:r>
      <w:r w:rsidR="009F12EE" w:rsidRPr="009F12EE">
        <w:rPr>
          <w:rFonts w:cs="Times New Roman"/>
        </w:rPr>
        <w:t xml:space="preserve"> without being aware that </w:t>
      </w:r>
      <w:r w:rsidR="009F12EE" w:rsidRPr="009F12EE">
        <w:rPr>
          <w:rFonts w:cs="Times New Roman"/>
        </w:rPr>
        <w:lastRenderedPageBreak/>
        <w:t>their perceptions had changed</w:t>
      </w:r>
      <w:r>
        <w:rPr>
          <w:rFonts w:cs="Times New Roman"/>
        </w:rPr>
        <w:t xml:space="preserve">.  Some participants </w:t>
      </w:r>
      <w:r w:rsidR="009F12EE" w:rsidRPr="009F12EE">
        <w:rPr>
          <w:rFonts w:cs="Times New Roman"/>
        </w:rPr>
        <w:t>found the knowledge of learning styles useful for broadening their understanding of online learning</w:t>
      </w:r>
      <w:r>
        <w:rPr>
          <w:rFonts w:cs="Times New Roman"/>
        </w:rPr>
        <w:t xml:space="preserve">.  The findings imply that knowledge of personal learning styles is beneficial and may enable </w:t>
      </w:r>
      <w:r w:rsidR="009F12EE" w:rsidRPr="009F12EE">
        <w:rPr>
          <w:rFonts w:cs="Times New Roman"/>
        </w:rPr>
        <w:t xml:space="preserve">students to improve their academic performance.  </w:t>
      </w:r>
      <w:r>
        <w:rPr>
          <w:rFonts w:cs="Times New Roman"/>
        </w:rPr>
        <w:t>E</w:t>
      </w:r>
      <w:r w:rsidR="009F12EE" w:rsidRPr="009F12EE">
        <w:rPr>
          <w:rFonts w:cs="Times New Roman"/>
        </w:rPr>
        <w:t xml:space="preserve">ducating students about their learning styles </w:t>
      </w:r>
      <w:r>
        <w:rPr>
          <w:rFonts w:cs="Times New Roman"/>
        </w:rPr>
        <w:t>may help students</w:t>
      </w:r>
      <w:r w:rsidR="009F12EE" w:rsidRPr="009F12EE">
        <w:rPr>
          <w:rFonts w:cs="Times New Roman"/>
        </w:rPr>
        <w:t xml:space="preserve"> to strengthen their metacognition.</w:t>
      </w:r>
      <w:r w:rsidR="006775ED" w:rsidRPr="008779C0">
        <w:rPr>
          <w:rFonts w:cs="Times New Roman"/>
        </w:rPr>
        <w:t xml:space="preserve">  </w:t>
      </w:r>
      <w:r w:rsidR="008C4968">
        <w:rPr>
          <w:rFonts w:cs="Times New Roman"/>
        </w:rPr>
        <w:t>I</w:t>
      </w:r>
      <w:r>
        <w:rPr>
          <w:rFonts w:cs="Times New Roman"/>
        </w:rPr>
        <w:t xml:space="preserve">t is recommended </w:t>
      </w:r>
      <w:r w:rsidR="00204B33">
        <w:rPr>
          <w:rFonts w:cs="Times New Roman"/>
        </w:rPr>
        <w:t xml:space="preserve">that </w:t>
      </w:r>
      <w:r w:rsidR="008F4D62">
        <w:rPr>
          <w:rFonts w:cs="Times New Roman"/>
        </w:rPr>
        <w:t xml:space="preserve">educators for </w:t>
      </w:r>
      <w:r w:rsidR="00204B33">
        <w:rPr>
          <w:rFonts w:cs="Times New Roman"/>
        </w:rPr>
        <w:t>online institut</w:t>
      </w:r>
      <w:r>
        <w:rPr>
          <w:rFonts w:cs="Times New Roman"/>
        </w:rPr>
        <w:t>ion</w:t>
      </w:r>
      <w:r w:rsidR="00204B33">
        <w:rPr>
          <w:rFonts w:cs="Times New Roman"/>
        </w:rPr>
        <w:t xml:space="preserve">s educate </w:t>
      </w:r>
      <w:r w:rsidR="00241697">
        <w:rPr>
          <w:rFonts w:cs="Times New Roman"/>
        </w:rPr>
        <w:t xml:space="preserve">first time </w:t>
      </w:r>
      <w:r w:rsidR="00204B33">
        <w:rPr>
          <w:rFonts w:cs="Times New Roman"/>
        </w:rPr>
        <w:t xml:space="preserve">online learners about their personal learning preferences at the </w:t>
      </w:r>
      <w:r w:rsidR="003059BB">
        <w:rPr>
          <w:rFonts w:cs="Times New Roman"/>
        </w:rPr>
        <w:t>start</w:t>
      </w:r>
      <w:r w:rsidR="00204B33">
        <w:rPr>
          <w:rFonts w:cs="Times New Roman"/>
        </w:rPr>
        <w:t xml:space="preserve"> of their online </w:t>
      </w:r>
      <w:r w:rsidR="008F4D62">
        <w:rPr>
          <w:rFonts w:cs="Times New Roman"/>
        </w:rPr>
        <w:t xml:space="preserve">programs </w:t>
      </w:r>
      <w:r w:rsidR="008C4968">
        <w:rPr>
          <w:rFonts w:cs="Times New Roman"/>
        </w:rPr>
        <w:t>as a way of providing</w:t>
      </w:r>
      <w:r w:rsidR="00204B33">
        <w:rPr>
          <w:rFonts w:cs="Times New Roman"/>
        </w:rPr>
        <w:t xml:space="preserve"> them with the information they need to build confidence and improve their metacognition. </w:t>
      </w:r>
    </w:p>
    <w:p w:rsidR="00130511" w:rsidRDefault="00B32050">
      <w:pPr>
        <w:pStyle w:val="Heading1notbold"/>
      </w:pPr>
      <w:r w:rsidRPr="00EA1AF2">
        <w:rPr>
          <w:b/>
        </w:rPr>
        <w:br w:type="page"/>
      </w:r>
      <w:bookmarkStart w:id="35" w:name="_Toc365469986"/>
      <w:bookmarkEnd w:id="23"/>
      <w:r w:rsidR="004B0CD0" w:rsidRPr="00EA1AF2">
        <w:lastRenderedPageBreak/>
        <w:t>References</w:t>
      </w:r>
      <w:bookmarkEnd w:id="35"/>
    </w:p>
    <w:p w:rsidR="00C25703" w:rsidRPr="00C25703" w:rsidRDefault="00C25703" w:rsidP="00C25703">
      <w:pPr>
        <w:ind w:left="720" w:hanging="720"/>
        <w:rPr>
          <w:rFonts w:cs="Times New Roman"/>
        </w:rPr>
      </w:pPr>
      <w:r w:rsidRPr="00C25703">
        <w:rPr>
          <w:rFonts w:cs="Times New Roman"/>
        </w:rPr>
        <w:t xml:space="preserve">Allen, I. E., &amp; Seaman, J. (2010). Class differences: Online education in the United States, 2010. Sloan Foundation Publication. </w:t>
      </w:r>
      <w:r w:rsidR="00672F6D">
        <w:rPr>
          <w:rFonts w:cs="Times New Roman"/>
        </w:rPr>
        <w:t xml:space="preserve">Retrieved from </w:t>
      </w:r>
      <w:r w:rsidRPr="00C25703">
        <w:rPr>
          <w:rFonts w:cs="Times New Roman"/>
        </w:rPr>
        <w:t>http://sloanconsortium.org/publications/survey/pdf/class _differences.pdf</w:t>
      </w:r>
    </w:p>
    <w:p w:rsidR="00C25703" w:rsidRPr="00C25703" w:rsidRDefault="00C25703" w:rsidP="00C25703">
      <w:pPr>
        <w:ind w:left="720" w:hanging="720"/>
        <w:rPr>
          <w:rFonts w:cs="Times New Roman"/>
        </w:rPr>
      </w:pPr>
    </w:p>
    <w:p w:rsidR="001B4FB8" w:rsidRDefault="001B4FB8" w:rsidP="00C25703">
      <w:pPr>
        <w:ind w:left="720" w:hanging="720"/>
        <w:rPr>
          <w:rFonts w:cs="Times New Roman"/>
        </w:rPr>
      </w:pPr>
      <w:r>
        <w:rPr>
          <w:rFonts w:cs="Times New Roman"/>
        </w:rPr>
        <w:t xml:space="preserve">Allen, I. E., &amp; Seaman, J. (2013). Changing course: Ten years of tracking online education in the </w:t>
      </w:r>
      <w:r w:rsidR="00672F6D">
        <w:rPr>
          <w:rFonts w:cs="Times New Roman"/>
        </w:rPr>
        <w:t>United States</w:t>
      </w:r>
      <w:r>
        <w:rPr>
          <w:rFonts w:cs="Times New Roman"/>
        </w:rPr>
        <w:t xml:space="preserve">. Babson Survey Research Group and Quahog Research Group, LLC. </w:t>
      </w:r>
      <w:r w:rsidR="00672F6D">
        <w:rPr>
          <w:rFonts w:cs="Times New Roman"/>
        </w:rPr>
        <w:t xml:space="preserve">Retrieved from </w:t>
      </w:r>
      <w:hyperlink r:id="rId13" w:history="1">
        <w:r w:rsidRPr="001B4FB8">
          <w:rPr>
            <w:rStyle w:val="Hyperlink"/>
            <w:rFonts w:cs="Times New Roman"/>
            <w:color w:val="auto"/>
            <w:u w:val="none"/>
          </w:rPr>
          <w:t>http://www.onlinelearningsurvey.com/reports/changingcourse.pdf</w:t>
        </w:r>
      </w:hyperlink>
    </w:p>
    <w:p w:rsidR="001B4FB8" w:rsidRDefault="001B4FB8"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Armstrong, D. (2011). Students’ perceptions of online learning and instructional tools: A qualitative study of undergraduate students</w:t>
      </w:r>
      <w:r w:rsidR="00672F6D">
        <w:rPr>
          <w:rFonts w:cs="Times New Roman"/>
        </w:rPr>
        <w:t>’</w:t>
      </w:r>
      <w:r w:rsidRPr="00C25703">
        <w:rPr>
          <w:rFonts w:cs="Times New Roman"/>
        </w:rPr>
        <w:t xml:space="preserve"> use of online tools. </w:t>
      </w:r>
      <w:r w:rsidRPr="00C25703">
        <w:rPr>
          <w:rFonts w:cs="Times New Roman"/>
          <w:i/>
        </w:rPr>
        <w:t>The Turkish Online Journal of Educational Technology, 10</w:t>
      </w:r>
      <w:r w:rsidRPr="00C25703">
        <w:rPr>
          <w:rFonts w:cs="Times New Roman"/>
        </w:rPr>
        <w:t>, 222-226.</w:t>
      </w:r>
    </w:p>
    <w:p w:rsidR="00C25703" w:rsidRPr="00C25703" w:rsidRDefault="00C25703" w:rsidP="00C25703">
      <w:pPr>
        <w:ind w:left="720" w:hanging="720"/>
        <w:rPr>
          <w:rFonts w:cs="Times New Roman"/>
        </w:rPr>
      </w:pPr>
    </w:p>
    <w:p w:rsidR="00C06A57" w:rsidRDefault="00C06A57" w:rsidP="00C25703">
      <w:pPr>
        <w:ind w:left="720" w:hanging="720"/>
        <w:rPr>
          <w:rFonts w:cs="Times New Roman"/>
        </w:rPr>
      </w:pPr>
      <w:r>
        <w:rPr>
          <w:rFonts w:cs="Times New Roman"/>
        </w:rPr>
        <w:t>Baker, L. &amp; Brown, A.</w:t>
      </w:r>
      <w:r w:rsidR="00672F6D">
        <w:rPr>
          <w:rFonts w:cs="Times New Roman"/>
        </w:rPr>
        <w:t xml:space="preserve"> </w:t>
      </w:r>
      <w:r>
        <w:rPr>
          <w:rFonts w:cs="Times New Roman"/>
        </w:rPr>
        <w:t xml:space="preserve">L. (1984). Metacognitive skills and readings. In P. D. Pearson (Ed.), </w:t>
      </w:r>
      <w:r w:rsidRPr="00C06A57">
        <w:rPr>
          <w:rFonts w:cs="Times New Roman"/>
          <w:i/>
        </w:rPr>
        <w:t>Handbook of researching research.</w:t>
      </w:r>
      <w:r>
        <w:rPr>
          <w:rFonts w:cs="Times New Roman"/>
        </w:rPr>
        <w:t xml:space="preserve"> New York</w:t>
      </w:r>
      <w:r w:rsidR="00672F6D">
        <w:rPr>
          <w:rFonts w:cs="Times New Roman"/>
        </w:rPr>
        <w:t>, NY</w:t>
      </w:r>
      <w:r>
        <w:rPr>
          <w:rFonts w:cs="Times New Roman"/>
        </w:rPr>
        <w:t xml:space="preserve">: Longman. </w:t>
      </w:r>
    </w:p>
    <w:p w:rsidR="00C06A57" w:rsidRDefault="00C06A57" w:rsidP="00C25703">
      <w:pPr>
        <w:ind w:left="720" w:hanging="720"/>
        <w:rPr>
          <w:rFonts w:cs="Times New Roman"/>
        </w:rPr>
      </w:pPr>
    </w:p>
    <w:p w:rsidR="00C25703" w:rsidRPr="00C25703" w:rsidRDefault="00C25703" w:rsidP="00C25703">
      <w:pPr>
        <w:ind w:left="720" w:hanging="720"/>
        <w:rPr>
          <w:rFonts w:cs="Times New Roman"/>
          <w:i/>
        </w:rPr>
      </w:pPr>
      <w:r w:rsidRPr="00C25703">
        <w:rPr>
          <w:rFonts w:cs="Times New Roman"/>
        </w:rPr>
        <w:t xml:space="preserve">Battalio, J. (2009). Success in distance education: Do learning styles and multiple formats matter?. </w:t>
      </w:r>
      <w:r w:rsidRPr="00C25703">
        <w:rPr>
          <w:rFonts w:cs="Times New Roman"/>
          <w:i/>
        </w:rPr>
        <w:t xml:space="preserve">The American Journal of Distance Education, 23, </w:t>
      </w:r>
      <w:r w:rsidRPr="00C25703">
        <w:rPr>
          <w:rFonts w:cs="Times New Roman"/>
        </w:rPr>
        <w:t>71-87. doi:10.1080/08923640902854405</w:t>
      </w:r>
    </w:p>
    <w:p w:rsidR="00C25703" w:rsidRPr="00C25703" w:rsidRDefault="00C25703" w:rsidP="00C25703">
      <w:pPr>
        <w:ind w:left="720" w:hanging="720"/>
        <w:rPr>
          <w:rFonts w:cs="Times New Roman"/>
          <w:i/>
        </w:rPr>
      </w:pPr>
    </w:p>
    <w:p w:rsidR="00C25703" w:rsidRPr="00C25703" w:rsidRDefault="00C25703" w:rsidP="00C25703">
      <w:pPr>
        <w:ind w:left="720" w:hanging="720"/>
        <w:rPr>
          <w:rFonts w:cs="Times New Roman"/>
        </w:rPr>
      </w:pPr>
      <w:r w:rsidRPr="00C25703">
        <w:rPr>
          <w:rFonts w:cs="Times New Roman"/>
        </w:rPr>
        <w:t xml:space="preserve">Baxter, P., &amp; Jack, S. (2008). Qualitative case study methodology: Study design and implementation for novice researchers. </w:t>
      </w:r>
      <w:r w:rsidRPr="00C25703">
        <w:rPr>
          <w:rFonts w:cs="Times New Roman"/>
          <w:i/>
        </w:rPr>
        <w:t>The Qualitative Report, 13</w:t>
      </w:r>
      <w:r w:rsidRPr="00C25703">
        <w:rPr>
          <w:rFonts w:cs="Times New Roman"/>
        </w:rPr>
        <w:t xml:space="preserve">, 544-559. </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Bergsteiner, H., Avery, G., &amp; Neumann, R. (2010). Kolb’s experiential learning model: Critique from a modeling perspective. </w:t>
      </w:r>
      <w:r w:rsidRPr="00C25703">
        <w:rPr>
          <w:rFonts w:cs="Times New Roman"/>
          <w:i/>
        </w:rPr>
        <w:t>Studies in Continuing Education, 32</w:t>
      </w:r>
      <w:r w:rsidRPr="00C25703">
        <w:rPr>
          <w:rFonts w:cs="Times New Roman"/>
        </w:rPr>
        <w:t>,</w:t>
      </w:r>
      <w:r w:rsidRPr="00C25703">
        <w:rPr>
          <w:rFonts w:cs="Times New Roman"/>
          <w:i/>
        </w:rPr>
        <w:t xml:space="preserve"> </w:t>
      </w:r>
      <w:r w:rsidRPr="00C25703">
        <w:rPr>
          <w:rFonts w:cs="Times New Roman"/>
        </w:rPr>
        <w:t>29-</w:t>
      </w:r>
      <w:r w:rsidRPr="003059BB">
        <w:rPr>
          <w:rFonts w:cs="Times New Roman"/>
        </w:rPr>
        <w:t xml:space="preserve">46. </w:t>
      </w:r>
      <w:r w:rsidR="009F12EE" w:rsidRPr="009F12EE">
        <w:rPr>
          <w:rFonts w:cs="Times New Roman"/>
        </w:rPr>
        <w:t>doi:10.1080/01580370903534355</w:t>
      </w:r>
    </w:p>
    <w:p w:rsidR="00C25703" w:rsidRPr="00C25703" w:rsidRDefault="00C25703" w:rsidP="00C25703">
      <w:pPr>
        <w:pStyle w:val="NormalWeb"/>
        <w:spacing w:before="0" w:beforeAutospacing="0" w:after="0" w:afterAutospacing="0"/>
        <w:ind w:left="720" w:hanging="720"/>
        <w:rPr>
          <w:rFonts w:cs="Times New Roman"/>
        </w:rPr>
      </w:pPr>
    </w:p>
    <w:p w:rsidR="00C25703" w:rsidRPr="008B4D79" w:rsidRDefault="00C25703" w:rsidP="00C25703">
      <w:pPr>
        <w:pStyle w:val="NormalWeb"/>
        <w:spacing w:before="0" w:beforeAutospacing="0" w:after="0" w:afterAutospacing="0"/>
        <w:ind w:left="720" w:hanging="720"/>
        <w:rPr>
          <w:rFonts w:cs="Times New Roman"/>
        </w:rPr>
      </w:pPr>
      <w:r w:rsidRPr="00C25703">
        <w:rPr>
          <w:rFonts w:cs="Times New Roman"/>
        </w:rPr>
        <w:t xml:space="preserve">Bishka, A. (2010). Learning styles fray: Brilliant or batty?. </w:t>
      </w:r>
      <w:r w:rsidRPr="00C25703">
        <w:rPr>
          <w:rFonts w:cs="Times New Roman"/>
          <w:i/>
        </w:rPr>
        <w:t xml:space="preserve">Performance Improvement, </w:t>
      </w:r>
      <w:r w:rsidRPr="008B4D79">
        <w:rPr>
          <w:rFonts w:cs="Times New Roman"/>
          <w:i/>
        </w:rPr>
        <w:t>49</w:t>
      </w:r>
      <w:r w:rsidRPr="008B4D79">
        <w:rPr>
          <w:rFonts w:cs="Times New Roman"/>
        </w:rPr>
        <w:t>(10),</w:t>
      </w:r>
      <w:r w:rsidRPr="008B4D79">
        <w:rPr>
          <w:rFonts w:cs="Times New Roman"/>
          <w:i/>
        </w:rPr>
        <w:t xml:space="preserve"> </w:t>
      </w:r>
      <w:r w:rsidRPr="008B4D79">
        <w:rPr>
          <w:rFonts w:cs="Times New Roman"/>
        </w:rPr>
        <w:t>9-13.</w:t>
      </w:r>
      <w:r w:rsidR="00B90AA0" w:rsidRPr="008B4D79">
        <w:rPr>
          <w:rFonts w:cs="Times New Roman"/>
        </w:rPr>
        <w:t xml:space="preserve"> </w:t>
      </w:r>
      <w:r w:rsidR="009F12EE" w:rsidRPr="008B4D79">
        <w:rPr>
          <w:rFonts w:cs="Times New Roman"/>
        </w:rPr>
        <w:t>doi:10.1002/pfi.20181</w:t>
      </w:r>
    </w:p>
    <w:p w:rsidR="00C25703" w:rsidRPr="008B4D79" w:rsidRDefault="00C25703" w:rsidP="00C25703">
      <w:pPr>
        <w:pStyle w:val="NormalWeb"/>
        <w:spacing w:before="0" w:beforeAutospacing="0" w:after="0" w:afterAutospacing="0"/>
        <w:ind w:left="720" w:hanging="720"/>
        <w:rPr>
          <w:rFonts w:cs="Times New Roman"/>
        </w:rPr>
      </w:pPr>
    </w:p>
    <w:p w:rsidR="00C25703" w:rsidRPr="008B4D79" w:rsidRDefault="00C25703" w:rsidP="00C25703">
      <w:pPr>
        <w:ind w:left="720" w:hanging="720"/>
        <w:rPr>
          <w:rFonts w:cs="Times New Roman"/>
        </w:rPr>
      </w:pPr>
      <w:r w:rsidRPr="008B4D79">
        <w:rPr>
          <w:rFonts w:cs="Times New Roman"/>
        </w:rPr>
        <w:t xml:space="preserve">Blankenship, R., &amp; Atkinson, J. (2010). Undergraduate student online learning readiness. </w:t>
      </w:r>
      <w:r w:rsidRPr="008B4D79">
        <w:rPr>
          <w:rFonts w:cs="Times New Roman"/>
          <w:i/>
        </w:rPr>
        <w:t>International Journal of Educational Research, 5</w:t>
      </w:r>
      <w:r w:rsidRPr="008B4D79">
        <w:rPr>
          <w:rFonts w:cs="Times New Roman"/>
        </w:rPr>
        <w:t xml:space="preserve">, 44-54. </w:t>
      </w:r>
    </w:p>
    <w:p w:rsidR="008B4D79" w:rsidRPr="008B4D79" w:rsidRDefault="008B4D79" w:rsidP="008B4D79">
      <w:pPr>
        <w:ind w:left="2160" w:hanging="2160"/>
        <w:rPr>
          <w:rFonts w:cs="Times New Roman"/>
        </w:rPr>
      </w:pPr>
    </w:p>
    <w:p w:rsidR="00C25703" w:rsidRPr="008B4D79" w:rsidRDefault="00C25703" w:rsidP="00C25703">
      <w:pPr>
        <w:ind w:left="720" w:hanging="720"/>
        <w:rPr>
          <w:rFonts w:cs="Times New Roman"/>
        </w:rPr>
      </w:pPr>
      <w:r w:rsidRPr="008B4D79">
        <w:rPr>
          <w:rFonts w:cs="Times New Roman"/>
        </w:rPr>
        <w:t xml:space="preserve">Bristow, D., Shepherd., C., Humphreys, M., &amp; Ziebell. (2011). </w:t>
      </w:r>
      <w:r w:rsidRPr="008B4D79">
        <w:rPr>
          <w:rFonts w:cs="Times New Roman"/>
          <w:i/>
        </w:rPr>
        <w:t>Marketing Education Review, 21</w:t>
      </w:r>
      <w:r w:rsidRPr="008B4D79">
        <w:rPr>
          <w:rFonts w:cs="Times New Roman"/>
        </w:rPr>
        <w:t>, 241-250.</w:t>
      </w:r>
      <w:r w:rsidR="009F12EE" w:rsidRPr="008B4D79">
        <w:rPr>
          <w:rFonts w:cs="Times New Roman"/>
        </w:rPr>
        <w:t xml:space="preserve"> doi:10.2753/MER1052-8008210304</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Cagiltay, N. (2008). Using learning styles theory in engineering education. </w:t>
      </w:r>
      <w:r w:rsidRPr="00C25703">
        <w:rPr>
          <w:rFonts w:cs="Times New Roman"/>
          <w:i/>
        </w:rPr>
        <w:t>European Journal of Engineering Education, 33</w:t>
      </w:r>
      <w:r w:rsidRPr="00C25703">
        <w:rPr>
          <w:rFonts w:cs="Times New Roman"/>
        </w:rPr>
        <w:t>, 415-424.</w:t>
      </w:r>
      <w:r w:rsidR="00B90AA0">
        <w:rPr>
          <w:rFonts w:cs="Times New Roman"/>
        </w:rPr>
        <w:t xml:space="preserve"> </w:t>
      </w:r>
      <w:r w:rsidR="009F12EE" w:rsidRPr="009F12EE">
        <w:rPr>
          <w:rFonts w:cs="Times New Roman"/>
        </w:rPr>
        <w:t>doi:10.1080/03043790802253541</w:t>
      </w:r>
    </w:p>
    <w:p w:rsidR="00C25703" w:rsidRPr="00C25703" w:rsidRDefault="00C25703" w:rsidP="00C25703">
      <w:pPr>
        <w:ind w:left="720" w:hanging="720"/>
        <w:rPr>
          <w:rFonts w:cs="Times New Roman"/>
        </w:rPr>
      </w:pPr>
    </w:p>
    <w:p w:rsidR="00B03373" w:rsidRDefault="00B03373" w:rsidP="00C25703">
      <w:pPr>
        <w:ind w:left="720" w:hanging="720"/>
        <w:rPr>
          <w:rFonts w:cs="Times New Roman"/>
        </w:rPr>
      </w:pPr>
      <w:r>
        <w:rPr>
          <w:rFonts w:cs="Times New Roman"/>
        </w:rPr>
        <w:t xml:space="preserve">Chiu, M. &amp; Kuo, S. (2010). From metacognition to social metacognition: Similarities, differences, and learning. </w:t>
      </w:r>
      <w:r w:rsidRPr="00B03373">
        <w:rPr>
          <w:rFonts w:cs="Times New Roman"/>
          <w:i/>
        </w:rPr>
        <w:t>International Journal of Education Research, 3</w:t>
      </w:r>
      <w:r>
        <w:rPr>
          <w:rFonts w:cs="Times New Roman"/>
        </w:rPr>
        <w:t>, 321-338.</w:t>
      </w:r>
    </w:p>
    <w:p w:rsidR="00B03373" w:rsidRDefault="00B0337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lastRenderedPageBreak/>
        <w:t xml:space="preserve">Conrad, D., &amp; Pedro, J. (2009). Perspectives on online teaching and learning: A report of two novice online educators. </w:t>
      </w:r>
      <w:r w:rsidRPr="00C25703">
        <w:rPr>
          <w:rFonts w:cs="Times New Roman"/>
          <w:i/>
        </w:rPr>
        <w:t>International Journal for the Scholarship of Teaching and Learning, 3</w:t>
      </w:r>
      <w:r w:rsidRPr="00C25703">
        <w:rPr>
          <w:rFonts w:cs="Times New Roman"/>
        </w:rPr>
        <w:t>(2),</w:t>
      </w:r>
      <w:r w:rsidRPr="00C25703">
        <w:rPr>
          <w:rFonts w:cs="Times New Roman"/>
          <w:i/>
        </w:rPr>
        <w:t xml:space="preserve"> </w:t>
      </w:r>
      <w:r w:rsidRPr="00C25703">
        <w:rPr>
          <w:rFonts w:cs="Times New Roman"/>
        </w:rPr>
        <w:t>1-17.</w:t>
      </w:r>
    </w:p>
    <w:p w:rsidR="00C25703" w:rsidRPr="00C25703" w:rsidRDefault="00C25703" w:rsidP="00C25703">
      <w:pPr>
        <w:ind w:left="720" w:hanging="720"/>
        <w:rPr>
          <w:rFonts w:cs="Times New Roman"/>
        </w:rPr>
      </w:pPr>
    </w:p>
    <w:p w:rsidR="00C25703" w:rsidRDefault="00C25703" w:rsidP="00C25703">
      <w:pPr>
        <w:ind w:left="720" w:hanging="720"/>
        <w:rPr>
          <w:rFonts w:cs="Times New Roman"/>
        </w:rPr>
      </w:pPr>
      <w:r w:rsidRPr="00C25703">
        <w:rPr>
          <w:rFonts w:cs="Times New Roman"/>
        </w:rPr>
        <w:t xml:space="preserve">Dobbs, R., Waid, C., &amp; Del Carmen, A. (2009). Students’ perceptions of online courses: The effect of online course experience. </w:t>
      </w:r>
      <w:r w:rsidRPr="00C25703">
        <w:rPr>
          <w:rFonts w:cs="Times New Roman"/>
          <w:i/>
        </w:rPr>
        <w:t>Quarterly Review of Distance Education, 10</w:t>
      </w:r>
      <w:r w:rsidRPr="00C25703">
        <w:rPr>
          <w:rFonts w:cs="Times New Roman"/>
        </w:rPr>
        <w:t xml:space="preserve">(1), 9-26. </w:t>
      </w:r>
    </w:p>
    <w:p w:rsidR="00F85AAC" w:rsidRPr="00C25703" w:rsidRDefault="00F85AAC" w:rsidP="00C25703">
      <w:pPr>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Evans, C., Cools, E., &amp; Charlesworth, Z. (2010). Learning in higher education- </w:t>
      </w:r>
      <w:r w:rsidR="00583EB2">
        <w:rPr>
          <w:rFonts w:cs="Times New Roman"/>
        </w:rPr>
        <w:t>H</w:t>
      </w:r>
      <w:r w:rsidRPr="00C25703">
        <w:rPr>
          <w:rFonts w:cs="Times New Roman"/>
        </w:rPr>
        <w:t xml:space="preserve">ow cognitive and learning styles matter. </w:t>
      </w:r>
      <w:r w:rsidRPr="00C25703">
        <w:rPr>
          <w:rFonts w:cs="Times New Roman"/>
          <w:i/>
        </w:rPr>
        <w:t>Teaching in Higher Education, 15</w:t>
      </w:r>
      <w:r w:rsidRPr="00C25703">
        <w:rPr>
          <w:rFonts w:cs="Times New Roman"/>
        </w:rPr>
        <w:t>,</w:t>
      </w:r>
      <w:r w:rsidRPr="00C25703">
        <w:rPr>
          <w:rFonts w:cs="Times New Roman"/>
          <w:i/>
        </w:rPr>
        <w:t xml:space="preserve"> </w:t>
      </w:r>
      <w:r w:rsidRPr="00C25703">
        <w:rPr>
          <w:rFonts w:cs="Times New Roman"/>
        </w:rPr>
        <w:t xml:space="preserve">467-478. </w:t>
      </w:r>
    </w:p>
    <w:p w:rsidR="00C25703" w:rsidRDefault="00C25703" w:rsidP="00C25703">
      <w:pPr>
        <w:pStyle w:val="NormalWeb"/>
        <w:spacing w:before="0" w:beforeAutospacing="0" w:after="0" w:afterAutospacing="0"/>
        <w:ind w:left="720" w:hanging="720"/>
        <w:rPr>
          <w:rFonts w:cs="Times New Roman"/>
        </w:rPr>
      </w:pPr>
    </w:p>
    <w:p w:rsidR="00C25703" w:rsidRPr="00583EB2" w:rsidRDefault="00C25703" w:rsidP="00C25703">
      <w:pPr>
        <w:pStyle w:val="NormalWeb"/>
        <w:spacing w:before="0" w:beforeAutospacing="0" w:after="0" w:afterAutospacing="0"/>
        <w:ind w:left="720" w:hanging="720"/>
        <w:rPr>
          <w:rFonts w:cs="Times New Roman"/>
        </w:rPr>
      </w:pPr>
      <w:r w:rsidRPr="00C25703">
        <w:rPr>
          <w:rFonts w:cs="Times New Roman"/>
        </w:rPr>
        <w:t xml:space="preserve">Featro, S. (2011). The relationship between learning styles and student learning in online courses. In M. Koehler &amp; P. Mishro (Eds.), </w:t>
      </w:r>
      <w:r w:rsidRPr="00C25703">
        <w:rPr>
          <w:rFonts w:cs="Times New Roman"/>
          <w:i/>
        </w:rPr>
        <w:t>Proceedings of Society for Information Technology &amp; Teacher Education International Conference, 2011</w:t>
      </w:r>
      <w:r w:rsidRPr="00C25703">
        <w:rPr>
          <w:rFonts w:cs="Times New Roman"/>
        </w:rPr>
        <w:t xml:space="preserve"> (pp. 266-273). Chesapeake, </w:t>
      </w:r>
      <w:r w:rsidRPr="00583EB2">
        <w:rPr>
          <w:rFonts w:cs="Times New Roman"/>
        </w:rPr>
        <w:t>VA:</w:t>
      </w:r>
      <w:r w:rsidR="00583EB2" w:rsidRPr="00583EB2">
        <w:rPr>
          <w:rFonts w:cs="Times New Roman"/>
        </w:rPr>
        <w:t xml:space="preserve"> </w:t>
      </w:r>
      <w:r w:rsidR="00721E7A" w:rsidRPr="00721E7A">
        <w:rPr>
          <w:color w:val="444444"/>
          <w:shd w:val="clear" w:color="auto" w:fill="FFFFFF"/>
        </w:rPr>
        <w:t>Association for the Advancement of Computing in Education</w:t>
      </w:r>
      <w:r w:rsidRPr="00583EB2">
        <w:rPr>
          <w:rFonts w:cs="Times New Roman"/>
        </w:rPr>
        <w:t>.</w:t>
      </w:r>
    </w:p>
    <w:p w:rsidR="00C25703" w:rsidRPr="00C25703" w:rsidRDefault="00C25703"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Felder, R., &amp; Silverman, K. (1988). Learning and teaching styles in engineering education. </w:t>
      </w:r>
      <w:r w:rsidRPr="00C25703">
        <w:rPr>
          <w:rFonts w:cs="Times New Roman"/>
          <w:i/>
        </w:rPr>
        <w:t>Engineering Education, 78</w:t>
      </w:r>
      <w:r w:rsidRPr="00C25703">
        <w:rPr>
          <w:rFonts w:cs="Times New Roman"/>
        </w:rPr>
        <w:t xml:space="preserve">, 674-681. </w:t>
      </w:r>
    </w:p>
    <w:p w:rsidR="00C25703" w:rsidRPr="00C25703" w:rsidRDefault="00C25703"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i/>
        </w:rPr>
      </w:pPr>
      <w:r w:rsidRPr="00C25703">
        <w:rPr>
          <w:rFonts w:cs="Times New Roman"/>
        </w:rPr>
        <w:t xml:space="preserve">Felder, R., &amp; Spurlin, J. (2005) Applications, reliability, and validity of the </w:t>
      </w:r>
      <w:r w:rsidR="006172C0" w:rsidRPr="00C25703">
        <w:rPr>
          <w:rFonts w:cs="Times New Roman"/>
        </w:rPr>
        <w:t>Index</w:t>
      </w:r>
      <w:r w:rsidRPr="00C25703">
        <w:rPr>
          <w:rFonts w:cs="Times New Roman"/>
        </w:rPr>
        <w:t xml:space="preserve"> of </w:t>
      </w:r>
      <w:r w:rsidR="006172C0" w:rsidRPr="00C25703">
        <w:rPr>
          <w:rFonts w:cs="Times New Roman"/>
        </w:rPr>
        <w:t xml:space="preserve">Learning Styles. </w:t>
      </w:r>
      <w:r w:rsidRPr="00C25703">
        <w:rPr>
          <w:rFonts w:cs="Times New Roman"/>
          <w:i/>
        </w:rPr>
        <w:t>International Journal of Engineering Education, 21</w:t>
      </w:r>
      <w:r w:rsidRPr="00C25703">
        <w:rPr>
          <w:rFonts w:cs="Times New Roman"/>
        </w:rPr>
        <w:t>,</w:t>
      </w:r>
      <w:r w:rsidRPr="00C25703">
        <w:rPr>
          <w:rFonts w:cs="Times New Roman"/>
          <w:i/>
        </w:rPr>
        <w:t xml:space="preserve"> </w:t>
      </w:r>
      <w:r w:rsidRPr="00C25703">
        <w:rPr>
          <w:rFonts w:cs="Times New Roman"/>
        </w:rPr>
        <w:t>103-112.</w:t>
      </w:r>
    </w:p>
    <w:p w:rsidR="00C25703" w:rsidRPr="00C25703" w:rsidRDefault="00C25703" w:rsidP="00C25703">
      <w:pPr>
        <w:pStyle w:val="NormalWeb"/>
        <w:spacing w:before="0" w:beforeAutospacing="0" w:after="0" w:afterAutospacing="0"/>
        <w:ind w:left="720" w:hanging="720"/>
        <w:rPr>
          <w:rFonts w:cs="Times New Roman"/>
          <w:i/>
        </w:rPr>
      </w:pPr>
    </w:p>
    <w:p w:rsidR="00F372D9" w:rsidRDefault="00F372D9" w:rsidP="00C25703">
      <w:pPr>
        <w:pStyle w:val="NormalWeb"/>
        <w:spacing w:before="0" w:beforeAutospacing="0" w:after="0" w:afterAutospacing="0"/>
        <w:ind w:left="720" w:hanging="720"/>
        <w:rPr>
          <w:rFonts w:cs="Times New Roman"/>
        </w:rPr>
      </w:pPr>
      <w:r>
        <w:rPr>
          <w:rFonts w:cs="Times New Roman"/>
        </w:rPr>
        <w:t>Flavell, J.</w:t>
      </w:r>
      <w:r w:rsidR="00583EB2">
        <w:rPr>
          <w:rFonts w:cs="Times New Roman"/>
        </w:rPr>
        <w:t xml:space="preserve"> </w:t>
      </w:r>
      <w:r>
        <w:rPr>
          <w:rFonts w:cs="Times New Roman"/>
        </w:rPr>
        <w:t xml:space="preserve">H. (1979). Metacognition and cognitive monitoring: A new area of cognitive-developmental inquiry. </w:t>
      </w:r>
      <w:r w:rsidRPr="00F372D9">
        <w:rPr>
          <w:rFonts w:cs="Times New Roman"/>
          <w:i/>
        </w:rPr>
        <w:t>American Psychologist, 34</w:t>
      </w:r>
      <w:r>
        <w:rPr>
          <w:rFonts w:cs="Times New Roman"/>
        </w:rPr>
        <w:t>, 906-911.</w:t>
      </w:r>
    </w:p>
    <w:p w:rsidR="00F372D9" w:rsidRDefault="00F372D9" w:rsidP="00C25703">
      <w:pPr>
        <w:pStyle w:val="NormalWeb"/>
        <w:spacing w:before="0" w:beforeAutospacing="0" w:after="0" w:afterAutospacing="0"/>
        <w:ind w:left="720" w:hanging="720"/>
        <w:rPr>
          <w:rFonts w:cs="Times New Roman"/>
        </w:rPr>
      </w:pPr>
    </w:p>
    <w:p w:rsidR="00F372D9" w:rsidRDefault="00F372D9" w:rsidP="00C25703">
      <w:pPr>
        <w:pStyle w:val="NormalWeb"/>
        <w:spacing w:before="0" w:beforeAutospacing="0" w:after="0" w:afterAutospacing="0"/>
        <w:ind w:left="720" w:hanging="720"/>
        <w:rPr>
          <w:rFonts w:cs="Times New Roman"/>
        </w:rPr>
      </w:pPr>
      <w:r>
        <w:rPr>
          <w:rFonts w:cs="Times New Roman"/>
        </w:rPr>
        <w:t>Flavell, J.</w:t>
      </w:r>
      <w:r w:rsidR="00325789">
        <w:rPr>
          <w:rFonts w:cs="Times New Roman"/>
        </w:rPr>
        <w:t xml:space="preserve"> </w:t>
      </w:r>
      <w:r>
        <w:rPr>
          <w:rFonts w:cs="Times New Roman"/>
        </w:rPr>
        <w:t>H. (1981). Cognitive monitoring</w:t>
      </w:r>
      <w:r w:rsidR="00325789">
        <w:rPr>
          <w:rFonts w:cs="Times New Roman"/>
        </w:rPr>
        <w:t>.</w:t>
      </w:r>
      <w:r>
        <w:rPr>
          <w:rFonts w:cs="Times New Roman"/>
        </w:rPr>
        <w:t xml:space="preserve"> In W.P. Dickson (ed.) </w:t>
      </w:r>
      <w:r w:rsidRPr="00F372D9">
        <w:rPr>
          <w:rFonts w:cs="Times New Roman"/>
          <w:i/>
        </w:rPr>
        <w:t>Children’s oral communication skills</w:t>
      </w:r>
      <w:r>
        <w:rPr>
          <w:rFonts w:cs="Times New Roman"/>
        </w:rPr>
        <w:t xml:space="preserve"> (pp. 35-60). New York</w:t>
      </w:r>
      <w:r w:rsidR="00325789">
        <w:rPr>
          <w:rFonts w:cs="Times New Roman"/>
        </w:rPr>
        <w:t>, NY:</w:t>
      </w:r>
      <w:r>
        <w:rPr>
          <w:rFonts w:cs="Times New Roman"/>
        </w:rPr>
        <w:t xml:space="preserve"> Academic Press. </w:t>
      </w:r>
    </w:p>
    <w:p w:rsidR="00F372D9" w:rsidRDefault="00F372D9"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Francis, J., Johnston, M., Robertson, C., Glidewell, L., Enteistle, V., Eccles, M., &amp; Grimshaw, M. (2010). What is </w:t>
      </w:r>
      <w:r w:rsidR="00C0353C">
        <w:rPr>
          <w:rFonts w:cs="Times New Roman"/>
        </w:rPr>
        <w:t>an</w:t>
      </w:r>
      <w:r w:rsidR="00C0353C" w:rsidRPr="00C25703">
        <w:rPr>
          <w:rFonts w:cs="Times New Roman"/>
        </w:rPr>
        <w:t xml:space="preserve"> </w:t>
      </w:r>
      <w:r w:rsidRPr="00C25703">
        <w:rPr>
          <w:rFonts w:cs="Times New Roman"/>
        </w:rPr>
        <w:t xml:space="preserve">adequate sample size? Operationalising data saturation for theory-based interview studies. </w:t>
      </w:r>
      <w:r w:rsidRPr="00C25703">
        <w:rPr>
          <w:rFonts w:cs="Times New Roman"/>
          <w:i/>
        </w:rPr>
        <w:t>Psychology and Health, 25</w:t>
      </w:r>
      <w:r w:rsidRPr="00C25703">
        <w:rPr>
          <w:rFonts w:cs="Times New Roman"/>
        </w:rPr>
        <w:t>, 1229-</w:t>
      </w:r>
      <w:r w:rsidRPr="003059BB">
        <w:rPr>
          <w:rFonts w:cs="Times New Roman"/>
        </w:rPr>
        <w:t>1245.</w:t>
      </w:r>
      <w:r w:rsidR="009F12EE">
        <w:rPr>
          <w:rFonts w:cs="Times New Roman"/>
        </w:rPr>
        <w:t xml:space="preserve"> </w:t>
      </w:r>
      <w:r w:rsidR="009F12EE" w:rsidRPr="009F12EE">
        <w:rPr>
          <w:rFonts w:cs="Times New Roman"/>
        </w:rPr>
        <w:t>doi:10.1080.08870440903194015</w:t>
      </w:r>
    </w:p>
    <w:p w:rsidR="00C25703" w:rsidRPr="00C25703" w:rsidRDefault="00C25703"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Gantasala, P., &amp; Gantasala, S. (2009). Influence of learning styles. </w:t>
      </w:r>
      <w:r w:rsidRPr="00C25703">
        <w:rPr>
          <w:rFonts w:cs="Times New Roman"/>
          <w:i/>
        </w:rPr>
        <w:t>The International Journal of Learning, 16</w:t>
      </w:r>
      <w:r w:rsidRPr="00C25703">
        <w:rPr>
          <w:rFonts w:cs="Times New Roman"/>
        </w:rPr>
        <w:t>, 169-184.</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Gaytan, J. (2009). Analyzing online education through the lens of institutional theory and practice: The need for research-based and –validated frameworks for planning, designing, delivering, and assessing online instruction. </w:t>
      </w:r>
      <w:r w:rsidRPr="00C25703">
        <w:rPr>
          <w:rFonts w:cs="Times New Roman"/>
          <w:i/>
        </w:rPr>
        <w:t>The Delta Pi Epsilon Journal, 51</w:t>
      </w:r>
      <w:r w:rsidRPr="00C25703">
        <w:rPr>
          <w:rFonts w:cs="Times New Roman"/>
        </w:rPr>
        <w:t>(2), 62-75.</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Glaser, B., &amp; Strauss, A. (1967). </w:t>
      </w:r>
      <w:r w:rsidR="00721E7A" w:rsidRPr="00721E7A">
        <w:rPr>
          <w:rFonts w:cs="Times New Roman"/>
          <w:i/>
        </w:rPr>
        <w:t xml:space="preserve">The discovery of grounded theory: Strategies for qualitative research. </w:t>
      </w:r>
      <w:r w:rsidRPr="00C25703">
        <w:rPr>
          <w:rFonts w:cs="Times New Roman"/>
        </w:rPr>
        <w:t>Chicago</w:t>
      </w:r>
      <w:r w:rsidR="00B7293B">
        <w:rPr>
          <w:rFonts w:cs="Times New Roman"/>
        </w:rPr>
        <w:t>, IL</w:t>
      </w:r>
      <w:r w:rsidRPr="00C25703">
        <w:rPr>
          <w:rFonts w:cs="Times New Roman"/>
        </w:rPr>
        <w:t xml:space="preserve">: Adline Publishing Company.  </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lastRenderedPageBreak/>
        <w:t xml:space="preserve">Graf, S., Kinshuk, T., &amp; Lui, T.-C. (2009). Supporting teachers in identifying students’ learning styles in learning management systems: An automatic student modeling approach. </w:t>
      </w:r>
      <w:r w:rsidRPr="00C25703">
        <w:rPr>
          <w:rFonts w:cs="Times New Roman"/>
          <w:i/>
        </w:rPr>
        <w:t>Educational Technology &amp; Society, 12</w:t>
      </w:r>
      <w:r w:rsidRPr="00C25703">
        <w:rPr>
          <w:rFonts w:cs="Times New Roman"/>
        </w:rPr>
        <w:t>(4), 3-14.</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4C2DE8">
        <w:rPr>
          <w:rFonts w:cs="Times New Roman"/>
        </w:rPr>
        <w:t xml:space="preserve">Guven, B., &amp; Ozbek, O. (2007). Developing learning style inventory for effective instructional design. </w:t>
      </w:r>
      <w:r w:rsidRPr="004C2DE8">
        <w:rPr>
          <w:rFonts w:cs="Times New Roman"/>
          <w:i/>
        </w:rPr>
        <w:t>The Turkish Online</w:t>
      </w:r>
      <w:r w:rsidRPr="00C25703">
        <w:rPr>
          <w:rFonts w:cs="Times New Roman"/>
          <w:i/>
        </w:rPr>
        <w:t xml:space="preserve"> Journal of Educational Technology, 6</w:t>
      </w:r>
      <w:r w:rsidRPr="00C25703">
        <w:rPr>
          <w:rFonts w:cs="Times New Roman"/>
        </w:rPr>
        <w:t>,</w:t>
      </w:r>
      <w:r w:rsidRPr="00C25703">
        <w:rPr>
          <w:rFonts w:cs="Times New Roman"/>
          <w:i/>
        </w:rPr>
        <w:t xml:space="preserve"> </w:t>
      </w:r>
      <w:r w:rsidRPr="00C25703">
        <w:rPr>
          <w:rFonts w:cs="Times New Roman"/>
        </w:rPr>
        <w:t>1-8.</w:t>
      </w:r>
    </w:p>
    <w:p w:rsidR="00C25703" w:rsidRPr="00C25703" w:rsidRDefault="00C25703" w:rsidP="00C25703">
      <w:pPr>
        <w:ind w:left="720" w:hanging="720"/>
        <w:rPr>
          <w:rFonts w:cs="Times New Roman"/>
          <w:i/>
        </w:rPr>
      </w:pPr>
    </w:p>
    <w:p w:rsidR="00C25703" w:rsidRPr="00C25703" w:rsidRDefault="00C25703" w:rsidP="00C25703">
      <w:pPr>
        <w:ind w:left="720" w:hanging="720"/>
        <w:rPr>
          <w:rFonts w:cs="Times New Roman"/>
        </w:rPr>
      </w:pPr>
      <w:r w:rsidRPr="00C25703">
        <w:rPr>
          <w:rFonts w:cs="Times New Roman"/>
        </w:rPr>
        <w:t xml:space="preserve">Hachey, A., Wladis, C., &amp; Conway, K. (2012). Is the second time the charm? Investigating trends in online re-enrollment, retention and success. </w:t>
      </w:r>
      <w:r w:rsidR="00721E7A" w:rsidRPr="00721E7A">
        <w:rPr>
          <w:rFonts w:cs="Times New Roman"/>
          <w:i/>
        </w:rPr>
        <w:t>The Journal of Educators Online, 9</w:t>
      </w:r>
      <w:r w:rsidRPr="00C25703">
        <w:rPr>
          <w:rFonts w:cs="Times New Roman"/>
        </w:rPr>
        <w:t>, 1-25.</w:t>
      </w:r>
    </w:p>
    <w:p w:rsidR="00C25703" w:rsidRPr="00C25703" w:rsidRDefault="00C25703" w:rsidP="00C25703">
      <w:pPr>
        <w:ind w:left="720" w:hanging="720"/>
        <w:rPr>
          <w:rFonts w:cs="Times New Roman"/>
        </w:rPr>
      </w:pPr>
    </w:p>
    <w:p w:rsidR="00EF7AE3" w:rsidRDefault="00EF7AE3" w:rsidP="00C25703">
      <w:pPr>
        <w:ind w:left="720" w:hanging="720"/>
        <w:rPr>
          <w:rFonts w:cs="Times New Roman"/>
        </w:rPr>
      </w:pPr>
      <w:r>
        <w:rPr>
          <w:rFonts w:cs="Times New Roman"/>
        </w:rPr>
        <w:t xml:space="preserve">Hacker, D. (1998). </w:t>
      </w:r>
      <w:r w:rsidR="00721E7A" w:rsidRPr="00721E7A">
        <w:rPr>
          <w:rFonts w:cs="Times New Roman"/>
        </w:rPr>
        <w:t>Definitions and empirical foundation</w:t>
      </w:r>
      <w:r w:rsidRPr="00CB089A">
        <w:rPr>
          <w:rFonts w:cs="Times New Roman"/>
        </w:rPr>
        <w:t>.</w:t>
      </w:r>
      <w:r>
        <w:rPr>
          <w:rFonts w:cs="Times New Roman"/>
        </w:rPr>
        <w:t xml:space="preserve"> In D. Hacker: J. Dunlosky; &amp; A. Graesser (Eds). </w:t>
      </w:r>
      <w:r w:rsidR="00721E7A" w:rsidRPr="00721E7A">
        <w:rPr>
          <w:rFonts w:cs="Times New Roman"/>
          <w:i/>
        </w:rPr>
        <w:t>Metacognition in Educational Theory and Practice.</w:t>
      </w:r>
      <w:r>
        <w:rPr>
          <w:rFonts w:cs="Times New Roman"/>
        </w:rPr>
        <w:t xml:space="preserve"> Mahwah, NY: Erlbaum. </w:t>
      </w:r>
    </w:p>
    <w:p w:rsidR="00EF7AE3" w:rsidRDefault="00EF7AE3" w:rsidP="00C25703">
      <w:pPr>
        <w:ind w:left="720" w:hanging="720"/>
        <w:rPr>
          <w:rFonts w:cs="Times New Roman"/>
        </w:rPr>
      </w:pPr>
    </w:p>
    <w:p w:rsidR="00C25703" w:rsidRPr="003456D1" w:rsidRDefault="00C25703" w:rsidP="00C25703">
      <w:pPr>
        <w:ind w:left="720" w:hanging="720"/>
        <w:rPr>
          <w:rFonts w:cs="Times New Roman"/>
        </w:rPr>
      </w:pPr>
      <w:r w:rsidRPr="00C25703">
        <w:rPr>
          <w:rFonts w:cs="Times New Roman"/>
        </w:rPr>
        <w:t xml:space="preserve">Hawk, T., &amp; Shah, A. (2007). Using learning style instruments to enhance student learning. </w:t>
      </w:r>
      <w:r w:rsidRPr="00C25703">
        <w:rPr>
          <w:rFonts w:cs="Times New Roman"/>
          <w:i/>
        </w:rPr>
        <w:t>Decision Sciences Journal of Innovative Education, 5</w:t>
      </w:r>
      <w:r w:rsidRPr="00C25703">
        <w:rPr>
          <w:rFonts w:cs="Times New Roman"/>
        </w:rPr>
        <w:t>(1),</w:t>
      </w:r>
      <w:r w:rsidRPr="00C25703">
        <w:rPr>
          <w:rFonts w:cs="Times New Roman"/>
          <w:i/>
        </w:rPr>
        <w:t xml:space="preserve"> </w:t>
      </w:r>
      <w:r w:rsidR="00721E7A" w:rsidRPr="00721E7A">
        <w:rPr>
          <w:rFonts w:cs="Times New Roman"/>
        </w:rPr>
        <w:t>1-19.</w:t>
      </w:r>
    </w:p>
    <w:p w:rsidR="00C25703" w:rsidRPr="00C25703" w:rsidRDefault="00C25703" w:rsidP="00C25703">
      <w:pPr>
        <w:ind w:left="720" w:hanging="720"/>
        <w:rPr>
          <w:rFonts w:cs="Times New Roman"/>
        </w:rPr>
      </w:pPr>
    </w:p>
    <w:p w:rsidR="007B119B" w:rsidRDefault="007B119B" w:rsidP="004C2DE8">
      <w:pPr>
        <w:ind w:left="720" w:hanging="720"/>
        <w:rPr>
          <w:rFonts w:cs="Times New Roman"/>
        </w:rPr>
      </w:pPr>
      <w:r>
        <w:rPr>
          <w:rFonts w:cs="Times New Roman"/>
        </w:rPr>
        <w:t xml:space="preserve">Heidari, F. &amp; Bahrami, Z. (2012). The relationship between thinking styles and metacognitive awareness among Iranian EFL learners. </w:t>
      </w:r>
      <w:r w:rsidRPr="007B119B">
        <w:rPr>
          <w:rFonts w:cs="Times New Roman"/>
          <w:i/>
        </w:rPr>
        <w:t>International Journal of Linguistics, 4</w:t>
      </w:r>
      <w:r>
        <w:rPr>
          <w:rFonts w:cs="Times New Roman"/>
        </w:rPr>
        <w:t>, 721-733.</w:t>
      </w:r>
    </w:p>
    <w:p w:rsidR="007B119B" w:rsidRDefault="007B119B" w:rsidP="004C2DE8">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Ho, L-A, Tsung-Hsein, K., &amp; Bishan, L. (2010). Influences of online learning skills in cyberspace. </w:t>
      </w:r>
      <w:r w:rsidRPr="00C25703">
        <w:rPr>
          <w:rFonts w:cs="Times New Roman"/>
          <w:i/>
        </w:rPr>
        <w:t>Internet Research, 20</w:t>
      </w:r>
      <w:r w:rsidRPr="00C25703">
        <w:rPr>
          <w:rFonts w:cs="Times New Roman"/>
        </w:rPr>
        <w:t>(1), 55-71.</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Hsieh, P-H., &amp; Dwyer, F. (2009). The instructional effect of online reading strategies and learning styles on student academic achievement. </w:t>
      </w:r>
      <w:r w:rsidRPr="00C25703">
        <w:rPr>
          <w:rFonts w:cs="Times New Roman"/>
          <w:i/>
        </w:rPr>
        <w:t>Educational Technology &amp; Society, 12</w:t>
      </w:r>
      <w:r w:rsidRPr="00C25703">
        <w:rPr>
          <w:rFonts w:cs="Times New Roman"/>
        </w:rPr>
        <w:t>(2), 36-50.</w:t>
      </w:r>
    </w:p>
    <w:p w:rsidR="00C25703" w:rsidRPr="00C25703" w:rsidRDefault="00C25703" w:rsidP="00C25703">
      <w:pPr>
        <w:ind w:left="720" w:hanging="720"/>
        <w:rPr>
          <w:rFonts w:cs="Times New Roman"/>
        </w:rPr>
      </w:pPr>
    </w:p>
    <w:p w:rsidR="007B119B" w:rsidRDefault="007B119B" w:rsidP="00C25703">
      <w:pPr>
        <w:ind w:left="720" w:hanging="720"/>
        <w:rPr>
          <w:rFonts w:cs="Times New Roman"/>
        </w:rPr>
      </w:pPr>
      <w:r>
        <w:rPr>
          <w:rFonts w:cs="Times New Roman"/>
        </w:rPr>
        <w:t>Huff, J.</w:t>
      </w:r>
      <w:r w:rsidR="009A0976">
        <w:rPr>
          <w:rFonts w:cs="Times New Roman"/>
        </w:rPr>
        <w:t xml:space="preserve"> </w:t>
      </w:r>
      <w:r>
        <w:rPr>
          <w:rFonts w:cs="Times New Roman"/>
        </w:rPr>
        <w:t>D.</w:t>
      </w:r>
      <w:r w:rsidR="009A0976">
        <w:rPr>
          <w:rFonts w:cs="Times New Roman"/>
        </w:rPr>
        <w:t>,</w:t>
      </w:r>
      <w:r>
        <w:rPr>
          <w:rFonts w:cs="Times New Roman"/>
        </w:rPr>
        <w:t xml:space="preserve"> &amp; Nietfeld, J. L. (2009). Using strategy instruction and confidence judgments to improve metacognitive monitoring. </w:t>
      </w:r>
      <w:r w:rsidRPr="007B119B">
        <w:rPr>
          <w:rFonts w:cs="Times New Roman"/>
          <w:i/>
        </w:rPr>
        <w:t>Me</w:t>
      </w:r>
      <w:r w:rsidR="00145929">
        <w:rPr>
          <w:rFonts w:cs="Times New Roman"/>
          <w:i/>
        </w:rPr>
        <w:t>ta</w:t>
      </w:r>
      <w:r w:rsidRPr="007B119B">
        <w:rPr>
          <w:rFonts w:cs="Times New Roman"/>
          <w:i/>
        </w:rPr>
        <w:t>cognition and Learning, 4</w:t>
      </w:r>
      <w:r>
        <w:rPr>
          <w:rFonts w:cs="Times New Roman"/>
        </w:rPr>
        <w:t>, 161-171.</w:t>
      </w:r>
    </w:p>
    <w:p w:rsidR="007B119B" w:rsidRDefault="007B119B"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Ivie, S. (2009)</w:t>
      </w:r>
      <w:r w:rsidR="00DC60F7">
        <w:rPr>
          <w:rFonts w:cs="Times New Roman"/>
        </w:rPr>
        <w:t>.</w:t>
      </w:r>
      <w:r w:rsidRPr="00C25703">
        <w:rPr>
          <w:rFonts w:cs="Times New Roman"/>
        </w:rPr>
        <w:t xml:space="preserve"> Learning styles: Humpty dumpty revisited. </w:t>
      </w:r>
      <w:r w:rsidRPr="00C25703">
        <w:rPr>
          <w:rFonts w:cs="Times New Roman"/>
          <w:i/>
        </w:rPr>
        <w:t xml:space="preserve">McGill Journal of Education, 44, </w:t>
      </w:r>
      <w:r w:rsidRPr="00C25703">
        <w:rPr>
          <w:rFonts w:cs="Times New Roman"/>
        </w:rPr>
        <w:t>192.</w:t>
      </w:r>
    </w:p>
    <w:p w:rsidR="00C25703" w:rsidRPr="00C25703" w:rsidRDefault="00C25703" w:rsidP="00C25703">
      <w:pPr>
        <w:ind w:left="720" w:hanging="720"/>
        <w:rPr>
          <w:rFonts w:cs="Times New Roman"/>
          <w:i/>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Journell, W. (2010). Perceptions of e-learning in secondary education: A viable alternative to classroom instruction or a way to bypass engaged learning? </w:t>
      </w:r>
      <w:r w:rsidR="00721E7A" w:rsidRPr="00721E7A">
        <w:rPr>
          <w:rFonts w:cs="Times New Roman"/>
          <w:i/>
        </w:rPr>
        <w:t>Educational Media Journal, 47</w:t>
      </w:r>
      <w:r w:rsidRPr="00C25703">
        <w:rPr>
          <w:rFonts w:cs="Times New Roman"/>
        </w:rPr>
        <w:t>, 69-80.</w:t>
      </w:r>
    </w:p>
    <w:p w:rsidR="00C25703" w:rsidRPr="00C25703" w:rsidRDefault="00C25703" w:rsidP="00C25703">
      <w:pPr>
        <w:pStyle w:val="NormalWeb"/>
        <w:spacing w:before="0" w:beforeAutospacing="0" w:after="0" w:afterAutospacing="0"/>
        <w:ind w:left="720" w:hanging="720"/>
        <w:rPr>
          <w:rFonts w:cs="Times New Roman"/>
        </w:rPr>
      </w:pPr>
    </w:p>
    <w:p w:rsidR="0048162E" w:rsidRDefault="0048162E" w:rsidP="00C25703">
      <w:pPr>
        <w:pStyle w:val="NormalWeb"/>
        <w:spacing w:before="0" w:beforeAutospacing="0" w:after="0" w:afterAutospacing="0"/>
        <w:ind w:left="720" w:hanging="720"/>
        <w:rPr>
          <w:rFonts w:cs="Times New Roman"/>
        </w:rPr>
      </w:pPr>
      <w:r>
        <w:rPr>
          <w:rFonts w:cs="Times New Roman"/>
        </w:rPr>
        <w:t xml:space="preserve">Khonamri, F. &amp; Kojidi, E. (2011). Metacognitive awareness and comprehension monitoring in reading ability of Iranian EFL learners. </w:t>
      </w:r>
      <w:r w:rsidRPr="0048162E">
        <w:rPr>
          <w:rFonts w:cs="Times New Roman"/>
          <w:i/>
        </w:rPr>
        <w:t>Profile, 13</w:t>
      </w:r>
      <w:r>
        <w:rPr>
          <w:rFonts w:cs="Times New Roman"/>
        </w:rPr>
        <w:t>(2), 99-111.</w:t>
      </w:r>
    </w:p>
    <w:p w:rsidR="0048162E" w:rsidRDefault="0048162E"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Kinshuk, T., Lui, T., &amp; Graf, S. (2009). Coping with mismatched courses: Students’ behavior and performance in courses mismatched to their learning styles. </w:t>
      </w:r>
      <w:r w:rsidRPr="00C25703">
        <w:rPr>
          <w:rFonts w:cs="Times New Roman"/>
          <w:i/>
        </w:rPr>
        <w:lastRenderedPageBreak/>
        <w:t>Education Tech</w:t>
      </w:r>
      <w:r w:rsidR="00F534A6">
        <w:rPr>
          <w:rFonts w:cs="Times New Roman"/>
          <w:i/>
        </w:rPr>
        <w:t>nology</w:t>
      </w:r>
      <w:r w:rsidRPr="00C25703">
        <w:rPr>
          <w:rFonts w:cs="Times New Roman"/>
          <w:i/>
        </w:rPr>
        <w:t xml:space="preserve"> Research </w:t>
      </w:r>
      <w:r w:rsidR="00F534A6">
        <w:rPr>
          <w:rFonts w:cs="Times New Roman"/>
          <w:i/>
        </w:rPr>
        <w:t xml:space="preserve">and </w:t>
      </w:r>
      <w:r w:rsidRPr="00C25703">
        <w:rPr>
          <w:rFonts w:cs="Times New Roman"/>
          <w:i/>
        </w:rPr>
        <w:t>Development</w:t>
      </w:r>
      <w:r w:rsidR="00F534A6">
        <w:rPr>
          <w:rFonts w:cs="Times New Roman"/>
          <w:i/>
        </w:rPr>
        <w:t xml:space="preserve"> Journal</w:t>
      </w:r>
      <w:r w:rsidRPr="00C25703">
        <w:rPr>
          <w:rFonts w:cs="Times New Roman"/>
          <w:i/>
        </w:rPr>
        <w:t xml:space="preserve">, 57, </w:t>
      </w:r>
      <w:r w:rsidRPr="00C25703">
        <w:rPr>
          <w:rFonts w:cs="Times New Roman"/>
        </w:rPr>
        <w:t>739-752.</w:t>
      </w:r>
      <w:r w:rsidR="00285B57">
        <w:rPr>
          <w:rFonts w:cs="Times New Roman"/>
        </w:rPr>
        <w:t xml:space="preserve"> </w:t>
      </w:r>
      <w:r w:rsidR="009F12EE" w:rsidRPr="009F12EE">
        <w:rPr>
          <w:rFonts w:cs="Times New Roman"/>
        </w:rPr>
        <w:t>doi:10.1007/S11423-009-9116-Y</w:t>
      </w:r>
    </w:p>
    <w:p w:rsidR="00C25703" w:rsidRPr="00C25703" w:rsidRDefault="00C25703" w:rsidP="00C25703">
      <w:pPr>
        <w:ind w:left="720" w:hanging="720"/>
        <w:rPr>
          <w:rFonts w:cs="Times New Roman"/>
        </w:rPr>
      </w:pPr>
    </w:p>
    <w:p w:rsidR="007B119B" w:rsidRPr="008B4D79" w:rsidRDefault="007B119B" w:rsidP="004C2DE8">
      <w:pPr>
        <w:ind w:left="720" w:hanging="720"/>
        <w:rPr>
          <w:rFonts w:cs="Times New Roman"/>
        </w:rPr>
      </w:pPr>
      <w:r w:rsidRPr="008B4D79">
        <w:rPr>
          <w:rFonts w:cs="Times New Roman"/>
        </w:rPr>
        <w:t xml:space="preserve">Kruger, J. &amp; Dunning, D. (1999). Unskilled and unaware of it: How differences in recognizing one’s own incompetence lead to inflated self-assessments. </w:t>
      </w:r>
      <w:r w:rsidRPr="008B4D79">
        <w:rPr>
          <w:rFonts w:cs="Times New Roman"/>
          <w:i/>
        </w:rPr>
        <w:t>J</w:t>
      </w:r>
      <w:r w:rsidR="009A0976" w:rsidRPr="008B4D79">
        <w:rPr>
          <w:rFonts w:cs="Times New Roman"/>
          <w:i/>
        </w:rPr>
        <w:t>ournal of</w:t>
      </w:r>
      <w:r w:rsidRPr="008B4D79">
        <w:rPr>
          <w:rFonts w:cs="Times New Roman"/>
          <w:i/>
        </w:rPr>
        <w:t xml:space="preserve"> Personality </w:t>
      </w:r>
      <w:r w:rsidR="009A0976" w:rsidRPr="008B4D79">
        <w:rPr>
          <w:rFonts w:cs="Times New Roman"/>
          <w:i/>
        </w:rPr>
        <w:t xml:space="preserve">and </w:t>
      </w:r>
      <w:r w:rsidRPr="008B4D79">
        <w:rPr>
          <w:rFonts w:cs="Times New Roman"/>
          <w:i/>
        </w:rPr>
        <w:t>Social Psychol</w:t>
      </w:r>
      <w:r w:rsidR="009A0976" w:rsidRPr="008B4D79">
        <w:rPr>
          <w:rFonts w:cs="Times New Roman"/>
          <w:i/>
        </w:rPr>
        <w:t>ogy</w:t>
      </w:r>
      <w:r w:rsidRPr="008B4D79">
        <w:rPr>
          <w:rFonts w:cs="Times New Roman"/>
          <w:i/>
        </w:rPr>
        <w:t>, 77</w:t>
      </w:r>
      <w:r w:rsidRPr="008B4D79">
        <w:rPr>
          <w:rFonts w:cs="Times New Roman"/>
        </w:rPr>
        <w:t>, 1121-1134.</w:t>
      </w:r>
    </w:p>
    <w:p w:rsidR="007B119B" w:rsidRPr="008B4D79" w:rsidRDefault="007B119B" w:rsidP="004C2DE8">
      <w:pPr>
        <w:ind w:left="720" w:hanging="720"/>
        <w:rPr>
          <w:rFonts w:cs="Times New Roman"/>
        </w:rPr>
      </w:pPr>
    </w:p>
    <w:p w:rsidR="009E3248" w:rsidRDefault="009E3248" w:rsidP="00C25703">
      <w:pPr>
        <w:pStyle w:val="NormalWeb"/>
        <w:spacing w:before="0" w:beforeAutospacing="0" w:after="0" w:afterAutospacing="0"/>
        <w:ind w:left="720" w:hanging="720"/>
        <w:rPr>
          <w:rFonts w:cs="Times New Roman"/>
        </w:rPr>
      </w:pPr>
      <w:r>
        <w:rPr>
          <w:rFonts w:cs="Times New Roman"/>
        </w:rPr>
        <w:t xml:space="preserve">Lincoln, Y. &amp; Guba, E. (1985). </w:t>
      </w:r>
      <w:r w:rsidRPr="009E3248">
        <w:rPr>
          <w:rFonts w:cs="Times New Roman"/>
          <w:i/>
        </w:rPr>
        <w:t>Naturalistic Inquiry</w:t>
      </w:r>
      <w:r>
        <w:rPr>
          <w:rFonts w:cs="Times New Roman"/>
        </w:rPr>
        <w:t xml:space="preserve">. Newberry Park, CA: Sage. </w:t>
      </w:r>
    </w:p>
    <w:p w:rsidR="009E3248" w:rsidRDefault="009E3248"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Mahoney, S. (2009). Mindset of change: Influences on student buy-in to online classes. </w:t>
      </w:r>
      <w:r w:rsidRPr="00C25703">
        <w:rPr>
          <w:rFonts w:cs="Times New Roman"/>
          <w:i/>
        </w:rPr>
        <w:t>The Quarterly Review of Distance Education, 10</w:t>
      </w:r>
      <w:r w:rsidRPr="00C25703">
        <w:rPr>
          <w:rFonts w:cs="Times New Roman"/>
        </w:rPr>
        <w:t xml:space="preserve">(1), 75-83. </w:t>
      </w:r>
    </w:p>
    <w:p w:rsidR="00C25703" w:rsidRPr="00C25703" w:rsidRDefault="00C25703" w:rsidP="00C25703">
      <w:pPr>
        <w:pStyle w:val="NormalWeb"/>
        <w:spacing w:before="0" w:beforeAutospacing="0" w:after="0" w:afterAutospacing="0"/>
        <w:ind w:left="720" w:hanging="720"/>
        <w:rPr>
          <w:rFonts w:cs="Times New Roman"/>
        </w:rPr>
      </w:pPr>
    </w:p>
    <w:p w:rsidR="00C25703" w:rsidRDefault="00C25703" w:rsidP="00C25703">
      <w:pPr>
        <w:ind w:left="720" w:hanging="720"/>
        <w:rPr>
          <w:rFonts w:cs="Times New Roman"/>
        </w:rPr>
      </w:pPr>
      <w:r w:rsidRPr="00C25703">
        <w:rPr>
          <w:rFonts w:cs="Times New Roman"/>
        </w:rPr>
        <w:t>Miles, M.</w:t>
      </w:r>
      <w:r w:rsidR="00D3503C">
        <w:rPr>
          <w:rFonts w:cs="Times New Roman"/>
        </w:rPr>
        <w:t xml:space="preserve"> </w:t>
      </w:r>
      <w:r w:rsidRPr="00C25703">
        <w:rPr>
          <w:rFonts w:cs="Times New Roman"/>
        </w:rPr>
        <w:t>B., &amp; Huberman, A.</w:t>
      </w:r>
      <w:r w:rsidR="00D3503C">
        <w:rPr>
          <w:rFonts w:cs="Times New Roman"/>
        </w:rPr>
        <w:t xml:space="preserve"> </w:t>
      </w:r>
      <w:r w:rsidRPr="00C25703">
        <w:rPr>
          <w:rFonts w:cs="Times New Roman"/>
        </w:rPr>
        <w:t xml:space="preserve">M. (1994). </w:t>
      </w:r>
      <w:r w:rsidRPr="00C25703">
        <w:rPr>
          <w:rFonts w:cs="Times New Roman"/>
          <w:i/>
        </w:rPr>
        <w:t>Qualitative Data Analysis</w:t>
      </w:r>
      <w:r w:rsidRPr="00C25703">
        <w:rPr>
          <w:rFonts w:cs="Times New Roman"/>
        </w:rPr>
        <w:t xml:space="preserve"> </w:t>
      </w:r>
      <w:r w:rsidR="009E3248">
        <w:rPr>
          <w:rFonts w:cs="Times New Roman"/>
        </w:rPr>
        <w:t>(</w:t>
      </w:r>
      <w:r w:rsidRPr="00C25703">
        <w:rPr>
          <w:rFonts w:cs="Times New Roman"/>
        </w:rPr>
        <w:t>2</w:t>
      </w:r>
      <w:r w:rsidRPr="009E3248">
        <w:rPr>
          <w:rFonts w:cs="Times New Roman"/>
        </w:rPr>
        <w:t>nd</w:t>
      </w:r>
      <w:r w:rsidRPr="00C25703">
        <w:rPr>
          <w:rFonts w:cs="Times New Roman"/>
        </w:rPr>
        <w:t xml:space="preserve"> </w:t>
      </w:r>
      <w:r w:rsidR="00D3503C">
        <w:rPr>
          <w:rFonts w:cs="Times New Roman"/>
        </w:rPr>
        <w:t>e</w:t>
      </w:r>
      <w:r w:rsidR="00D3503C" w:rsidRPr="00C25703">
        <w:rPr>
          <w:rFonts w:cs="Times New Roman"/>
        </w:rPr>
        <w:t>d</w:t>
      </w:r>
      <w:r w:rsidR="009E3248">
        <w:rPr>
          <w:rFonts w:cs="Times New Roman"/>
        </w:rPr>
        <w:t xml:space="preserve">). </w:t>
      </w:r>
      <w:r w:rsidRPr="00C25703">
        <w:rPr>
          <w:rFonts w:cs="Times New Roman"/>
        </w:rPr>
        <w:t xml:space="preserve"> Newbury Park, CA: Sage. </w:t>
      </w:r>
    </w:p>
    <w:p w:rsidR="00F323EF" w:rsidRDefault="00F323EF" w:rsidP="00C25703">
      <w:pPr>
        <w:ind w:left="720" w:hanging="720"/>
        <w:rPr>
          <w:rFonts w:cs="Times New Roman"/>
        </w:rPr>
      </w:pPr>
    </w:p>
    <w:p w:rsidR="00F323EF" w:rsidRPr="00C25703" w:rsidRDefault="00F323EF" w:rsidP="00C25703">
      <w:pPr>
        <w:ind w:left="720" w:hanging="720"/>
        <w:rPr>
          <w:rFonts w:cs="Times New Roman"/>
        </w:rPr>
      </w:pPr>
      <w:r>
        <w:rPr>
          <w:rFonts w:cs="Times New Roman"/>
        </w:rPr>
        <w:t>Miles, M.</w:t>
      </w:r>
      <w:r w:rsidR="009E3248">
        <w:rPr>
          <w:rFonts w:cs="Times New Roman"/>
        </w:rPr>
        <w:t xml:space="preserve">, Huberman, A.M., &amp; Saldana, J. (2014). </w:t>
      </w:r>
      <w:r w:rsidR="009E3248" w:rsidRPr="009E3248">
        <w:rPr>
          <w:rFonts w:cs="Times New Roman"/>
          <w:i/>
        </w:rPr>
        <w:t>Qualitative Data Analysis: A Methods Sourcebook</w:t>
      </w:r>
      <w:r w:rsidR="009E3248">
        <w:rPr>
          <w:rFonts w:cs="Times New Roman"/>
        </w:rPr>
        <w:t xml:space="preserve">  (3</w:t>
      </w:r>
      <w:r w:rsidR="009E3248" w:rsidRPr="009E3248">
        <w:rPr>
          <w:rFonts w:cs="Times New Roman"/>
        </w:rPr>
        <w:t>rd</w:t>
      </w:r>
      <w:r w:rsidR="009E3248">
        <w:rPr>
          <w:rFonts w:cs="Times New Roman"/>
        </w:rPr>
        <w:t xml:space="preserve"> ed.). Los Angeles, CA: Sage.</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i/>
        </w:rPr>
      </w:pPr>
      <w:r w:rsidRPr="00C25703">
        <w:rPr>
          <w:rFonts w:cs="Times New Roman"/>
        </w:rPr>
        <w:t xml:space="preserve">Milligan, A., &amp; Buckenmeyer, J. (2008). Assessing students for online learning. </w:t>
      </w:r>
      <w:r w:rsidRPr="00C25703">
        <w:rPr>
          <w:rFonts w:cs="Times New Roman"/>
          <w:i/>
        </w:rPr>
        <w:t>International Journal on E-Learning, 7</w:t>
      </w:r>
      <w:r w:rsidRPr="00C25703">
        <w:rPr>
          <w:rFonts w:cs="Times New Roman"/>
        </w:rPr>
        <w:t>,</w:t>
      </w:r>
      <w:r w:rsidRPr="00C25703">
        <w:rPr>
          <w:rFonts w:cs="Times New Roman"/>
          <w:i/>
        </w:rPr>
        <w:t xml:space="preserve"> </w:t>
      </w:r>
      <w:r w:rsidRPr="00C25703">
        <w:rPr>
          <w:rFonts w:cs="Times New Roman"/>
        </w:rPr>
        <w:t>449-461.</w:t>
      </w:r>
    </w:p>
    <w:p w:rsidR="00C25703" w:rsidRPr="00C25703" w:rsidRDefault="00C25703" w:rsidP="00C25703">
      <w:pPr>
        <w:ind w:left="720" w:hanging="720"/>
        <w:rPr>
          <w:rFonts w:cs="Times New Roman"/>
          <w:i/>
        </w:rPr>
      </w:pPr>
    </w:p>
    <w:p w:rsidR="00C25703" w:rsidRPr="004C2DE8" w:rsidRDefault="00C25703" w:rsidP="00C25703">
      <w:pPr>
        <w:ind w:left="720" w:hanging="720"/>
        <w:rPr>
          <w:rFonts w:cs="Times New Roman"/>
          <w:i/>
        </w:rPr>
      </w:pPr>
      <w:r w:rsidRPr="004C2DE8">
        <w:rPr>
          <w:rFonts w:cs="Times New Roman"/>
        </w:rPr>
        <w:t xml:space="preserve">Moallem, M. (2007). Accommodating individual differences in the design of online learning environments: A comparative study. </w:t>
      </w:r>
      <w:r w:rsidRPr="004C2DE8">
        <w:rPr>
          <w:rFonts w:cs="Times New Roman"/>
          <w:i/>
        </w:rPr>
        <w:t>Journal of Research on Technology in Education, 40</w:t>
      </w:r>
      <w:r w:rsidRPr="004C2DE8">
        <w:rPr>
          <w:rFonts w:cs="Times New Roman"/>
        </w:rPr>
        <w:t>,</w:t>
      </w:r>
      <w:r w:rsidRPr="004C2DE8">
        <w:rPr>
          <w:rFonts w:cs="Times New Roman"/>
          <w:i/>
        </w:rPr>
        <w:t xml:space="preserve"> </w:t>
      </w:r>
      <w:r w:rsidRPr="004C2DE8">
        <w:rPr>
          <w:rFonts w:cs="Times New Roman"/>
        </w:rPr>
        <w:t>217-245.</w:t>
      </w:r>
    </w:p>
    <w:p w:rsidR="00C25703" w:rsidRPr="004C2DE8" w:rsidRDefault="00C25703" w:rsidP="00C25703">
      <w:pPr>
        <w:ind w:left="720" w:hanging="720"/>
        <w:rPr>
          <w:rFonts w:cs="Times New Roman"/>
          <w:i/>
        </w:rPr>
      </w:pPr>
    </w:p>
    <w:p w:rsidR="00C25703" w:rsidRPr="00AE37B7" w:rsidRDefault="00C25703" w:rsidP="00C25703">
      <w:pPr>
        <w:pStyle w:val="NormalWeb"/>
        <w:spacing w:before="0" w:beforeAutospacing="0" w:after="0" w:afterAutospacing="0"/>
        <w:ind w:left="720" w:hanging="720"/>
        <w:rPr>
          <w:rFonts w:cs="Times New Roman"/>
        </w:rPr>
      </w:pPr>
      <w:r w:rsidRPr="004C2DE8">
        <w:rPr>
          <w:rFonts w:cs="Times New Roman"/>
        </w:rPr>
        <w:t>Morris, B.</w:t>
      </w:r>
      <w:r w:rsidR="00AE37B7">
        <w:rPr>
          <w:rFonts w:cs="Times New Roman"/>
        </w:rPr>
        <w:t xml:space="preserve"> </w:t>
      </w:r>
      <w:r w:rsidRPr="004C2DE8">
        <w:rPr>
          <w:rFonts w:cs="Times New Roman"/>
        </w:rPr>
        <w:t>J., &amp; Ozkan, B. (2006). Accommodating diverse needs of students in online courses: What works</w:t>
      </w:r>
      <w:r w:rsidRPr="00C25703">
        <w:rPr>
          <w:rFonts w:cs="Times New Roman"/>
        </w:rPr>
        <w:t xml:space="preserve">!. In E. Pearson &amp; P. Bohman (Eds.), </w:t>
      </w:r>
      <w:r w:rsidR="00721E7A" w:rsidRPr="00721E7A">
        <w:rPr>
          <w:rFonts w:cs="Times New Roman"/>
          <w:i/>
        </w:rPr>
        <w:t>Proceedings of World Conference on Educational Multimedia, Hypermedia and Telecommunications 2006</w:t>
      </w:r>
      <w:r w:rsidRPr="00C25703">
        <w:rPr>
          <w:rFonts w:cs="Times New Roman"/>
        </w:rPr>
        <w:t xml:space="preserve"> (pp. 1423-1428). Chesapeake, VA: </w:t>
      </w:r>
      <w:r w:rsidR="00721E7A" w:rsidRPr="00721E7A">
        <w:rPr>
          <w:color w:val="444444"/>
          <w:shd w:val="clear" w:color="auto" w:fill="FFFFFF"/>
        </w:rPr>
        <w:t>Association for the Advancement of Computing in Education</w:t>
      </w:r>
      <w:r w:rsidRPr="00AE37B7">
        <w:rPr>
          <w:rFonts w:cs="Times New Roman"/>
        </w:rPr>
        <w:t>.</w:t>
      </w:r>
    </w:p>
    <w:p w:rsidR="00C25703" w:rsidRPr="00C25703" w:rsidRDefault="00C25703"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Naimie, Z., Siraj, S., Abuzaid, R., &amp; Shagholi, R. (2010). Hypothesized learners’ technology preference based on learning dimensions. </w:t>
      </w:r>
      <w:r w:rsidRPr="00C25703">
        <w:rPr>
          <w:rFonts w:cs="Times New Roman"/>
          <w:i/>
        </w:rPr>
        <w:t>The Turkish Online Journal of Educational Technology, 9</w:t>
      </w:r>
      <w:r w:rsidRPr="00C25703">
        <w:rPr>
          <w:rFonts w:cs="Times New Roman"/>
        </w:rPr>
        <w:t>, 83-93.</w:t>
      </w:r>
    </w:p>
    <w:p w:rsidR="00C25703" w:rsidRPr="00C25703" w:rsidRDefault="00C25703" w:rsidP="00C25703">
      <w:pPr>
        <w:pStyle w:val="NormalWeb"/>
        <w:spacing w:before="0" w:beforeAutospacing="0" w:after="0" w:afterAutospacing="0"/>
        <w:ind w:left="720" w:hanging="720"/>
        <w:rPr>
          <w:rFonts w:cs="Times New Roman"/>
        </w:rPr>
      </w:pPr>
    </w:p>
    <w:p w:rsidR="007B119B" w:rsidRDefault="007B119B" w:rsidP="004C2DE8">
      <w:pPr>
        <w:pStyle w:val="NormalWeb"/>
        <w:spacing w:before="0" w:beforeAutospacing="0" w:after="0" w:afterAutospacing="0"/>
        <w:ind w:left="720" w:hanging="720"/>
        <w:rPr>
          <w:rFonts w:cs="Times New Roman"/>
        </w:rPr>
      </w:pPr>
      <w:r>
        <w:rPr>
          <w:rFonts w:cs="Times New Roman"/>
        </w:rPr>
        <w:t xml:space="preserve">Ndidiamaka, U. (2010). </w:t>
      </w:r>
      <w:r w:rsidR="00761C8E">
        <w:rPr>
          <w:rFonts w:cs="Times New Roman"/>
        </w:rPr>
        <w:t>Metacognition</w:t>
      </w:r>
      <w:r>
        <w:rPr>
          <w:rFonts w:cs="Times New Roman"/>
        </w:rPr>
        <w:t xml:space="preserve"> and achievement goals as correlates of academic success. </w:t>
      </w:r>
      <w:r w:rsidRPr="007B119B">
        <w:rPr>
          <w:rFonts w:cs="Times New Roman"/>
          <w:i/>
        </w:rPr>
        <w:t>Continental J</w:t>
      </w:r>
      <w:r w:rsidR="00AE37B7">
        <w:rPr>
          <w:rFonts w:cs="Times New Roman"/>
          <w:i/>
        </w:rPr>
        <w:t>ournal of</w:t>
      </w:r>
      <w:r w:rsidRPr="007B119B">
        <w:rPr>
          <w:rFonts w:cs="Times New Roman"/>
          <w:i/>
        </w:rPr>
        <w:t xml:space="preserve"> Education Research, 3</w:t>
      </w:r>
      <w:r>
        <w:rPr>
          <w:rFonts w:cs="Times New Roman"/>
        </w:rPr>
        <w:t xml:space="preserve">(1), 1-6. </w:t>
      </w:r>
    </w:p>
    <w:p w:rsidR="007B119B" w:rsidRDefault="007B119B" w:rsidP="004C2DE8">
      <w:pPr>
        <w:pStyle w:val="NormalWeb"/>
        <w:spacing w:before="0" w:beforeAutospacing="0" w:after="0" w:afterAutospacing="0"/>
        <w:ind w:left="720" w:hanging="720"/>
        <w:rPr>
          <w:rFonts w:cs="Times New Roman"/>
        </w:rPr>
      </w:pPr>
    </w:p>
    <w:p w:rsidR="00D43B51" w:rsidRDefault="00D43B51" w:rsidP="00C25703">
      <w:pPr>
        <w:ind w:left="720" w:hanging="720"/>
        <w:rPr>
          <w:rFonts w:cs="Times New Roman"/>
        </w:rPr>
      </w:pPr>
      <w:r>
        <w:rPr>
          <w:rFonts w:cs="Times New Roman"/>
        </w:rPr>
        <w:t>Nelson, T., &amp; Narens, J. (1992)</w:t>
      </w:r>
      <w:r w:rsidR="007810C9">
        <w:rPr>
          <w:rFonts w:cs="Times New Roman"/>
        </w:rPr>
        <w:t xml:space="preserve">. </w:t>
      </w:r>
      <w:r w:rsidR="00761C8E" w:rsidRPr="00761C8E">
        <w:rPr>
          <w:rFonts w:cs="Times New Roman"/>
          <w:i/>
        </w:rPr>
        <w:t>Meta-memory: A theoretical framework and new findings</w:t>
      </w:r>
      <w:r w:rsidR="00761C8E">
        <w:rPr>
          <w:rFonts w:cs="Times New Roman"/>
        </w:rPr>
        <w:t>. New York</w:t>
      </w:r>
      <w:r w:rsidR="00AE37B7">
        <w:rPr>
          <w:rFonts w:cs="Times New Roman"/>
        </w:rPr>
        <w:t>, NY</w:t>
      </w:r>
      <w:r w:rsidR="00761C8E">
        <w:rPr>
          <w:rFonts w:cs="Times New Roman"/>
        </w:rPr>
        <w:t xml:space="preserve">: Academic. </w:t>
      </w:r>
    </w:p>
    <w:p w:rsidR="00D43B51" w:rsidRDefault="00D43B51" w:rsidP="00C25703">
      <w:pPr>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 xml:space="preserve">Park, J., &amp; Choi, H. (2009). Factors influencing adult learners’ decision to drop out or persist in online learning. </w:t>
      </w:r>
      <w:r w:rsidRPr="00C25703">
        <w:rPr>
          <w:rFonts w:cs="Times New Roman"/>
          <w:i/>
        </w:rPr>
        <w:t>Educational Technology &amp; Society, 12</w:t>
      </w:r>
      <w:r w:rsidRPr="00C25703">
        <w:rPr>
          <w:rFonts w:cs="Times New Roman"/>
        </w:rPr>
        <w:t>,</w:t>
      </w:r>
      <w:r w:rsidRPr="00C25703">
        <w:rPr>
          <w:rFonts w:cs="Times New Roman"/>
          <w:i/>
        </w:rPr>
        <w:t xml:space="preserve"> </w:t>
      </w:r>
      <w:r w:rsidRPr="00C25703">
        <w:rPr>
          <w:rFonts w:cs="Times New Roman"/>
        </w:rPr>
        <w:t>207-217.</w:t>
      </w:r>
    </w:p>
    <w:p w:rsidR="00C25703" w:rsidRPr="00C25703" w:rsidRDefault="00C25703" w:rsidP="00C25703">
      <w:pPr>
        <w:pStyle w:val="NormalWeb"/>
        <w:spacing w:before="0" w:beforeAutospacing="0" w:after="0" w:afterAutospacing="0"/>
        <w:ind w:left="720" w:hanging="720"/>
        <w:rPr>
          <w:rFonts w:cs="Times New Roman"/>
        </w:rPr>
      </w:pPr>
    </w:p>
    <w:p w:rsidR="00C25703" w:rsidRPr="00C25703" w:rsidRDefault="00C25703" w:rsidP="00C25703">
      <w:pPr>
        <w:pStyle w:val="NormalWeb"/>
        <w:spacing w:before="0" w:beforeAutospacing="0" w:after="0" w:afterAutospacing="0"/>
        <w:ind w:left="720" w:hanging="720"/>
        <w:rPr>
          <w:rFonts w:cs="Times New Roman"/>
        </w:rPr>
      </w:pPr>
      <w:r w:rsidRPr="00C25703">
        <w:rPr>
          <w:rFonts w:cs="Times New Roman"/>
        </w:rPr>
        <w:t>Park, J.</w:t>
      </w:r>
      <w:r w:rsidR="00C964E8">
        <w:rPr>
          <w:rFonts w:cs="Times New Roman"/>
        </w:rPr>
        <w:t xml:space="preserve"> </w:t>
      </w:r>
      <w:r w:rsidRPr="00C25703">
        <w:rPr>
          <w:rFonts w:cs="Times New Roman"/>
        </w:rPr>
        <w:t xml:space="preserve">H., &amp; Wentling, T. (2007). Factors associated with transfer of training in workplace e-learning. </w:t>
      </w:r>
      <w:r w:rsidRPr="00C25703">
        <w:rPr>
          <w:rFonts w:cs="Times New Roman"/>
          <w:i/>
        </w:rPr>
        <w:t>Journal of Workplace Learning, 19</w:t>
      </w:r>
      <w:r w:rsidRPr="00C25703">
        <w:rPr>
          <w:rFonts w:cs="Times New Roman"/>
        </w:rPr>
        <w:t xml:space="preserve">, 311-329. </w:t>
      </w:r>
    </w:p>
    <w:p w:rsidR="00C25703" w:rsidRPr="00C25703" w:rsidRDefault="00C25703" w:rsidP="00C25703">
      <w:pPr>
        <w:pStyle w:val="NormalWeb"/>
        <w:spacing w:before="0" w:beforeAutospacing="0" w:after="0" w:afterAutospacing="0"/>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Patton, M. (2002). </w:t>
      </w:r>
      <w:r w:rsidRPr="00C25703">
        <w:rPr>
          <w:rFonts w:cs="Times New Roman"/>
          <w:i/>
        </w:rPr>
        <w:t>Qualitative research &amp; evaluation methods</w:t>
      </w:r>
      <w:r w:rsidRPr="00C25703">
        <w:rPr>
          <w:rFonts w:cs="Times New Roman"/>
        </w:rPr>
        <w:t xml:space="preserve"> (3</w:t>
      </w:r>
      <w:r w:rsidR="00721E7A" w:rsidRPr="00721E7A">
        <w:rPr>
          <w:rFonts w:cs="Times New Roman"/>
        </w:rPr>
        <w:t>rd</w:t>
      </w:r>
      <w:r w:rsidRPr="00C25703">
        <w:rPr>
          <w:rFonts w:cs="Times New Roman"/>
        </w:rPr>
        <w:t xml:space="preserve"> ed</w:t>
      </w:r>
      <w:r w:rsidR="00701581">
        <w:rPr>
          <w:rFonts w:cs="Times New Roman"/>
        </w:rPr>
        <w:t>.</w:t>
      </w:r>
      <w:r w:rsidRPr="00C25703">
        <w:rPr>
          <w:rFonts w:cs="Times New Roman"/>
        </w:rPr>
        <w:t xml:space="preserve">). Thousand Oaks, CA: Sage Publications. </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Pillay, H., Irving, K., &amp; Tones, M. (2007). Validation of the diagnostic tool for assessing tertiary students’ readiness for online learning.</w:t>
      </w:r>
      <w:r w:rsidRPr="00C25703">
        <w:rPr>
          <w:rFonts w:cs="Times New Roman"/>
          <w:i/>
        </w:rPr>
        <w:t xml:space="preserve"> Higher Education Research and Development, 26</w:t>
      </w:r>
      <w:r w:rsidRPr="00C25703">
        <w:rPr>
          <w:rFonts w:cs="Times New Roman"/>
        </w:rPr>
        <w:t>, 217-234.</w:t>
      </w:r>
    </w:p>
    <w:p w:rsidR="007B119B" w:rsidRDefault="007B119B" w:rsidP="00C25703">
      <w:pPr>
        <w:ind w:left="720" w:hanging="720"/>
        <w:rPr>
          <w:rFonts w:cs="Times New Roman"/>
        </w:rPr>
      </w:pPr>
    </w:p>
    <w:p w:rsidR="007B119B" w:rsidRDefault="007B119B" w:rsidP="00C25703">
      <w:pPr>
        <w:ind w:left="720" w:hanging="720"/>
        <w:rPr>
          <w:rFonts w:cs="Times New Roman"/>
        </w:rPr>
      </w:pPr>
      <w:r>
        <w:rPr>
          <w:rFonts w:cs="Times New Roman"/>
        </w:rPr>
        <w:t xml:space="preserve">Pimentel, E. &amp; </w:t>
      </w:r>
      <w:r w:rsidR="00C733E4">
        <w:rPr>
          <w:rFonts w:cs="Times New Roman"/>
        </w:rPr>
        <w:t>Mackenzie, N.</w:t>
      </w:r>
      <w:r>
        <w:rPr>
          <w:rFonts w:cs="Times New Roman"/>
        </w:rPr>
        <w:t xml:space="preserve"> (2008). Formative assessment in distance learning education with cognitive and metacognitive measurements. </w:t>
      </w:r>
      <w:r w:rsidR="00C733E4" w:rsidRPr="00C733E4">
        <w:rPr>
          <w:rFonts w:cs="Times New Roman"/>
          <w:i/>
        </w:rPr>
        <w:t>International</w:t>
      </w:r>
      <w:r w:rsidRPr="00C733E4">
        <w:rPr>
          <w:rFonts w:cs="Times New Roman"/>
          <w:i/>
        </w:rPr>
        <w:t xml:space="preserve"> Journal of Information and Communication Technology Education, 4</w:t>
      </w:r>
      <w:r>
        <w:rPr>
          <w:rFonts w:cs="Times New Roman"/>
        </w:rPr>
        <w:t>(3)</w:t>
      </w:r>
      <w:r w:rsidR="00C733E4">
        <w:rPr>
          <w:rFonts w:cs="Times New Roman"/>
        </w:rPr>
        <w:t>, 49-58.</w:t>
      </w:r>
    </w:p>
    <w:p w:rsidR="002C1028" w:rsidRDefault="002C1028" w:rsidP="00C25703">
      <w:pPr>
        <w:ind w:left="720" w:hanging="720"/>
        <w:rPr>
          <w:rFonts w:cs="Times New Roman"/>
        </w:rPr>
      </w:pPr>
    </w:p>
    <w:p w:rsidR="002C1028" w:rsidRDefault="00EF7AE3" w:rsidP="00C25703">
      <w:pPr>
        <w:ind w:left="720" w:hanging="720"/>
        <w:rPr>
          <w:rFonts w:cs="Times New Roman"/>
        </w:rPr>
      </w:pPr>
      <w:r>
        <w:rPr>
          <w:rFonts w:cs="Times New Roman"/>
        </w:rPr>
        <w:t xml:space="preserve">Pintrich, P. (2002). The role of metacognitive knowledge in learning, teaching, and assessing. </w:t>
      </w:r>
      <w:r w:rsidRPr="00EF7AE3">
        <w:rPr>
          <w:rFonts w:cs="Times New Roman"/>
          <w:i/>
        </w:rPr>
        <w:t>Theory Into Practice, 41</w:t>
      </w:r>
      <w:r>
        <w:rPr>
          <w:rFonts w:cs="Times New Roman"/>
        </w:rPr>
        <w:t>, 219-225.</w:t>
      </w:r>
    </w:p>
    <w:p w:rsidR="002C1028" w:rsidRDefault="002C1028" w:rsidP="00C25703">
      <w:pPr>
        <w:ind w:left="720" w:hanging="720"/>
        <w:rPr>
          <w:rFonts w:cs="Times New Roman"/>
        </w:rPr>
      </w:pPr>
    </w:p>
    <w:p w:rsidR="003941EC" w:rsidRDefault="003941EC" w:rsidP="00C25703">
      <w:pPr>
        <w:ind w:left="720" w:hanging="720"/>
        <w:rPr>
          <w:rFonts w:cs="Times New Roman"/>
        </w:rPr>
      </w:pPr>
      <w:r>
        <w:rPr>
          <w:rFonts w:cs="Times New Roman"/>
        </w:rPr>
        <w:t>Pressley, M.</w:t>
      </w:r>
      <w:r w:rsidR="00074D63">
        <w:rPr>
          <w:rFonts w:cs="Times New Roman"/>
        </w:rPr>
        <w:t>,</w:t>
      </w:r>
      <w:r>
        <w:rPr>
          <w:rFonts w:cs="Times New Roman"/>
        </w:rPr>
        <w:t xml:space="preserve"> &amp; McCormick, C. (1995). </w:t>
      </w:r>
      <w:r w:rsidRPr="003941EC">
        <w:rPr>
          <w:rFonts w:cs="Times New Roman"/>
          <w:i/>
        </w:rPr>
        <w:t>Advanced educational psychology for educators, researchers, and policymakers</w:t>
      </w:r>
      <w:r>
        <w:rPr>
          <w:rFonts w:cs="Times New Roman"/>
        </w:rPr>
        <w:t>. New York</w:t>
      </w:r>
      <w:r w:rsidR="009E283F">
        <w:rPr>
          <w:rFonts w:cs="Times New Roman"/>
        </w:rPr>
        <w:t>, NY</w:t>
      </w:r>
      <w:r>
        <w:rPr>
          <w:rFonts w:cs="Times New Roman"/>
        </w:rPr>
        <w:t xml:space="preserve">: Harper Collins. </w:t>
      </w:r>
    </w:p>
    <w:p w:rsidR="003941EC" w:rsidRDefault="003941EC" w:rsidP="00C25703">
      <w:pPr>
        <w:ind w:left="720" w:hanging="720"/>
        <w:rPr>
          <w:rFonts w:cs="Times New Roman"/>
        </w:rPr>
      </w:pPr>
    </w:p>
    <w:p w:rsidR="00EF7AE3" w:rsidRDefault="00EF7AE3" w:rsidP="00C25703">
      <w:pPr>
        <w:ind w:left="720" w:hanging="720"/>
        <w:rPr>
          <w:rFonts w:cs="Times New Roman"/>
        </w:rPr>
      </w:pPr>
      <w:r>
        <w:rPr>
          <w:rFonts w:cs="Times New Roman"/>
        </w:rPr>
        <w:t xml:space="preserve">Rahman, F. &amp; Masrur, R. (2011). Is metacognition a single variable?. </w:t>
      </w:r>
      <w:r w:rsidRPr="00EF7AE3">
        <w:rPr>
          <w:rFonts w:cs="Times New Roman"/>
          <w:i/>
        </w:rPr>
        <w:t>International Journal of Business and Social Science, 2</w:t>
      </w:r>
      <w:r>
        <w:rPr>
          <w:rFonts w:cs="Times New Roman"/>
        </w:rPr>
        <w:t>, 135-141.</w:t>
      </w:r>
    </w:p>
    <w:p w:rsidR="00EF7AE3" w:rsidRDefault="00EF7AE3" w:rsidP="00C25703">
      <w:pPr>
        <w:ind w:left="720" w:hanging="720"/>
        <w:rPr>
          <w:rFonts w:cs="Times New Roman"/>
        </w:rPr>
      </w:pPr>
    </w:p>
    <w:p w:rsidR="00C25703" w:rsidRPr="004C2DE8" w:rsidRDefault="00C25703" w:rsidP="00C25703">
      <w:pPr>
        <w:ind w:left="720" w:hanging="720"/>
        <w:rPr>
          <w:rFonts w:cs="Times New Roman"/>
        </w:rPr>
      </w:pPr>
      <w:r w:rsidRPr="004C2DE8">
        <w:rPr>
          <w:rFonts w:cs="Times New Roman"/>
        </w:rPr>
        <w:t xml:space="preserve">Rakap, S. (2010). Impacts of learning styles and computer skills on adult students’ learning online. </w:t>
      </w:r>
      <w:r w:rsidRPr="004C2DE8">
        <w:rPr>
          <w:rFonts w:cs="Times New Roman"/>
          <w:i/>
        </w:rPr>
        <w:t>The Turkish Online Journal of Educational Technology, 9</w:t>
      </w:r>
      <w:r w:rsidRPr="004C2DE8">
        <w:rPr>
          <w:rFonts w:cs="Times New Roman"/>
        </w:rPr>
        <w:t>,</w:t>
      </w:r>
      <w:r w:rsidRPr="004C2DE8">
        <w:rPr>
          <w:rFonts w:cs="Times New Roman"/>
          <w:i/>
        </w:rPr>
        <w:t xml:space="preserve"> </w:t>
      </w:r>
      <w:r w:rsidRPr="004C2DE8">
        <w:rPr>
          <w:rFonts w:cs="Times New Roman"/>
        </w:rPr>
        <w:t xml:space="preserve">108-115. </w:t>
      </w:r>
    </w:p>
    <w:p w:rsidR="00C25703" w:rsidRPr="004C2DE8" w:rsidRDefault="00C25703" w:rsidP="00C25703">
      <w:pPr>
        <w:ind w:left="720" w:hanging="720"/>
        <w:rPr>
          <w:rFonts w:cs="Times New Roman"/>
        </w:rPr>
      </w:pPr>
    </w:p>
    <w:p w:rsidR="00C25703" w:rsidRPr="00C25703" w:rsidRDefault="00C25703" w:rsidP="00C25703">
      <w:pPr>
        <w:ind w:left="720" w:hanging="720"/>
        <w:rPr>
          <w:rFonts w:cs="Times New Roman"/>
        </w:rPr>
      </w:pPr>
      <w:r w:rsidRPr="004C2DE8">
        <w:rPr>
          <w:rFonts w:cs="Times New Roman"/>
        </w:rPr>
        <w:t>Rogers, K. (2009). A preliminary investigation and analysis of student learning style preferences in further and higher education</w:t>
      </w:r>
      <w:r w:rsidRPr="00C25703">
        <w:rPr>
          <w:rFonts w:cs="Times New Roman"/>
        </w:rPr>
        <w:t xml:space="preserve">. </w:t>
      </w:r>
      <w:r w:rsidR="00721E7A" w:rsidRPr="00721E7A">
        <w:rPr>
          <w:rFonts w:cs="Times New Roman"/>
          <w:i/>
        </w:rPr>
        <w:t>Journal of Further and Higher Education, 3</w:t>
      </w:r>
      <w:r w:rsidR="00721E7A" w:rsidRPr="003059BB">
        <w:rPr>
          <w:rFonts w:cs="Times New Roman"/>
          <w:i/>
        </w:rPr>
        <w:t>3</w:t>
      </w:r>
      <w:r w:rsidRPr="003059BB">
        <w:rPr>
          <w:rFonts w:cs="Times New Roman"/>
        </w:rPr>
        <w:t>, 13-21.</w:t>
      </w:r>
      <w:r w:rsidR="009F12EE">
        <w:rPr>
          <w:rFonts w:cs="Times New Roman"/>
        </w:rPr>
        <w:t xml:space="preserve"> </w:t>
      </w:r>
      <w:r w:rsidR="009F12EE" w:rsidRPr="009F12EE">
        <w:rPr>
          <w:rFonts w:cs="Times New Roman"/>
        </w:rPr>
        <w:t>doi:10.1080/03098770802638234</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Rogers, P., &amp; McNeil, K. (2009). Student learning styles and online course performance: An empirical examination of student success in web-based management courses. </w:t>
      </w:r>
      <w:r w:rsidRPr="00C25703">
        <w:rPr>
          <w:rFonts w:cs="Times New Roman"/>
          <w:i/>
        </w:rPr>
        <w:t>Business Education Digest, 18</w:t>
      </w:r>
      <w:r w:rsidRPr="00C25703">
        <w:rPr>
          <w:rFonts w:cs="Times New Roman"/>
        </w:rPr>
        <w:t>, 1-15.</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i/>
        </w:rPr>
      </w:pPr>
      <w:r w:rsidRPr="00C25703">
        <w:rPr>
          <w:rFonts w:cs="Times New Roman"/>
        </w:rPr>
        <w:t xml:space="preserve">Romanelli, F. Bird, E., &amp; Ryan, M. (2009). Learning styles: A review of theory, application, and best practices. </w:t>
      </w:r>
      <w:r w:rsidRPr="00C25703">
        <w:rPr>
          <w:rFonts w:cs="Times New Roman"/>
          <w:i/>
        </w:rPr>
        <w:t>American Journal of Pharmaceutical Education, 73</w:t>
      </w:r>
      <w:r w:rsidRPr="00C25703">
        <w:rPr>
          <w:rFonts w:cs="Times New Roman"/>
        </w:rPr>
        <w:t>(1),</w:t>
      </w:r>
      <w:r w:rsidRPr="00C25703">
        <w:rPr>
          <w:rFonts w:cs="Times New Roman"/>
          <w:i/>
        </w:rPr>
        <w:t xml:space="preserve"> </w:t>
      </w:r>
      <w:r w:rsidRPr="00C25703">
        <w:rPr>
          <w:rFonts w:cs="Times New Roman"/>
        </w:rPr>
        <w:t>1-5.</w:t>
      </w:r>
    </w:p>
    <w:p w:rsidR="00C25703" w:rsidRPr="00C25703" w:rsidRDefault="00C25703" w:rsidP="00C25703">
      <w:pPr>
        <w:ind w:left="720" w:hanging="720"/>
        <w:rPr>
          <w:rFonts w:cs="Times New Roman"/>
          <w:i/>
        </w:rPr>
      </w:pPr>
    </w:p>
    <w:p w:rsidR="00C25703" w:rsidRPr="00C25703" w:rsidRDefault="00C25703" w:rsidP="00C25703">
      <w:pPr>
        <w:ind w:left="720" w:hanging="720"/>
        <w:rPr>
          <w:rFonts w:cs="Times New Roman"/>
        </w:rPr>
      </w:pPr>
      <w:r w:rsidRPr="00C25703">
        <w:rPr>
          <w:rFonts w:cs="Times New Roman"/>
        </w:rPr>
        <w:t xml:space="preserve">Scales, P. (2008). </w:t>
      </w:r>
      <w:r w:rsidRPr="00C25703">
        <w:rPr>
          <w:rFonts w:cs="Times New Roman"/>
          <w:i/>
        </w:rPr>
        <w:t>Teaching in the lifelong learning sector</w:t>
      </w:r>
      <w:r w:rsidRPr="00C25703">
        <w:rPr>
          <w:rFonts w:cs="Times New Roman"/>
        </w:rPr>
        <w:t>. Buckingham GBR</w:t>
      </w:r>
      <w:r w:rsidR="006608CE">
        <w:rPr>
          <w:rFonts w:cs="Times New Roman"/>
        </w:rPr>
        <w:t>, England</w:t>
      </w:r>
      <w:r w:rsidRPr="00C25703">
        <w:rPr>
          <w:rFonts w:cs="Times New Roman"/>
        </w:rPr>
        <w:t xml:space="preserve">: Open University Press.  </w:t>
      </w:r>
    </w:p>
    <w:p w:rsidR="00C25703" w:rsidRPr="00C25703" w:rsidRDefault="00C25703" w:rsidP="00C25703">
      <w:pPr>
        <w:ind w:left="720" w:hanging="720"/>
        <w:rPr>
          <w:rFonts w:cs="Times New Roman"/>
        </w:rPr>
      </w:pPr>
    </w:p>
    <w:p w:rsidR="00F372D9" w:rsidRDefault="00F372D9" w:rsidP="00C25703">
      <w:pPr>
        <w:ind w:left="720" w:hanging="720"/>
        <w:rPr>
          <w:rFonts w:cs="Times New Roman"/>
        </w:rPr>
      </w:pPr>
      <w:r>
        <w:rPr>
          <w:rFonts w:cs="Times New Roman"/>
        </w:rPr>
        <w:t xml:space="preserve">Schraw, G. &amp; Dennison, R. (1994). Assessing metacognitive awareness. </w:t>
      </w:r>
      <w:r w:rsidRPr="00F372D9">
        <w:rPr>
          <w:rFonts w:cs="Times New Roman"/>
          <w:i/>
        </w:rPr>
        <w:t>Contemporary Educational Psychology</w:t>
      </w:r>
      <w:r>
        <w:rPr>
          <w:rFonts w:cs="Times New Roman"/>
        </w:rPr>
        <w:t xml:space="preserve">, 19, 460-475. </w:t>
      </w:r>
    </w:p>
    <w:p w:rsidR="00F372D9" w:rsidRDefault="00F372D9" w:rsidP="00C25703">
      <w:pPr>
        <w:ind w:left="720" w:hanging="720"/>
        <w:rPr>
          <w:rFonts w:cs="Times New Roman"/>
        </w:rPr>
      </w:pPr>
    </w:p>
    <w:p w:rsidR="00C25703" w:rsidRPr="006608CE" w:rsidRDefault="00C25703" w:rsidP="00C25703">
      <w:pPr>
        <w:ind w:left="720" w:hanging="720"/>
        <w:rPr>
          <w:rFonts w:cs="Times New Roman"/>
          <w:i/>
        </w:rPr>
      </w:pPr>
      <w:r w:rsidRPr="00C25703">
        <w:rPr>
          <w:rFonts w:cs="Times New Roman"/>
        </w:rPr>
        <w:t xml:space="preserve">Scot, T., Callahan, C., &amp; Reed, C. (2008). Learning from those you lose: A study of student dropouts in online learning. In J. Luca &amp; E. Weippl (Eds.), </w:t>
      </w:r>
      <w:r w:rsidR="00721E7A" w:rsidRPr="00721E7A">
        <w:rPr>
          <w:rFonts w:cs="Times New Roman"/>
          <w:i/>
        </w:rPr>
        <w:t xml:space="preserve">Proceedings of World Conference on Educational Multimedia, Hypermedia and </w:t>
      </w:r>
      <w:r w:rsidR="00721E7A" w:rsidRPr="00721E7A">
        <w:rPr>
          <w:rFonts w:cs="Times New Roman"/>
          <w:i/>
        </w:rPr>
        <w:lastRenderedPageBreak/>
        <w:t>Telecommunications</w:t>
      </w:r>
      <w:r w:rsidR="006608CE">
        <w:rPr>
          <w:rFonts w:cs="Times New Roman"/>
          <w:i/>
        </w:rPr>
        <w:t>,</w:t>
      </w:r>
      <w:r w:rsidR="00721E7A" w:rsidRPr="00721E7A">
        <w:rPr>
          <w:rFonts w:cs="Times New Roman"/>
          <w:i/>
        </w:rPr>
        <w:t xml:space="preserve"> 2008 </w:t>
      </w:r>
      <w:r w:rsidRPr="006608CE">
        <w:rPr>
          <w:rFonts w:cs="Times New Roman"/>
        </w:rPr>
        <w:t xml:space="preserve">(pp. 3048-3052). Chesapeake, VA: </w:t>
      </w:r>
      <w:r w:rsidR="006608CE">
        <w:rPr>
          <w:rFonts w:cs="Times New Roman"/>
        </w:rPr>
        <w:t>Association for the Advancement of Computers in Education</w:t>
      </w:r>
      <w:r w:rsidRPr="006608CE">
        <w:rPr>
          <w:rFonts w:cs="Times New Roman"/>
        </w:rPr>
        <w:t>.</w:t>
      </w:r>
    </w:p>
    <w:p w:rsidR="00C25703" w:rsidRPr="006608CE" w:rsidRDefault="00C25703" w:rsidP="00C25703">
      <w:pPr>
        <w:ind w:left="720" w:hanging="720"/>
        <w:rPr>
          <w:rFonts w:cs="Times New Roman"/>
          <w:i/>
        </w:rPr>
      </w:pPr>
    </w:p>
    <w:p w:rsidR="00C25703" w:rsidRPr="00C25703" w:rsidRDefault="00C25703" w:rsidP="00C25703">
      <w:pPr>
        <w:ind w:left="720" w:hanging="720"/>
        <w:rPr>
          <w:rFonts w:cs="Times New Roman"/>
        </w:rPr>
      </w:pPr>
      <w:r w:rsidRPr="00C25703">
        <w:rPr>
          <w:rFonts w:cs="Times New Roman"/>
        </w:rPr>
        <w:t>Seok, S., DaCosta, B., Kinsell, C., &amp; Tung, C.</w:t>
      </w:r>
      <w:r w:rsidR="00DC60F7">
        <w:rPr>
          <w:rFonts w:cs="Times New Roman"/>
        </w:rPr>
        <w:t xml:space="preserve"> (2010).</w:t>
      </w:r>
      <w:r w:rsidRPr="00C25703">
        <w:rPr>
          <w:rFonts w:cs="Times New Roman"/>
        </w:rPr>
        <w:t xml:space="preserve"> Comparison of instructor</w:t>
      </w:r>
      <w:r w:rsidR="006608CE">
        <w:rPr>
          <w:rFonts w:cs="Times New Roman"/>
        </w:rPr>
        <w:t>s</w:t>
      </w:r>
      <w:r w:rsidRPr="00C25703">
        <w:rPr>
          <w:rFonts w:cs="Times New Roman"/>
        </w:rPr>
        <w:t xml:space="preserve">’ and students’ perceptions of the effectiveness of online courses. </w:t>
      </w:r>
      <w:r w:rsidRPr="00C25703">
        <w:rPr>
          <w:rFonts w:cs="Times New Roman"/>
          <w:i/>
        </w:rPr>
        <w:t>Quarterly Review of Distance Education, 11</w:t>
      </w:r>
      <w:r w:rsidRPr="00C25703">
        <w:rPr>
          <w:rFonts w:cs="Times New Roman"/>
        </w:rPr>
        <w:t xml:space="preserve">, 25-60. </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Spaulding, M. (2009). Perceptions of academic honesty in online vs. face-to-face classrooms. </w:t>
      </w:r>
      <w:r w:rsidRPr="00C25703">
        <w:rPr>
          <w:rFonts w:cs="Times New Roman"/>
          <w:i/>
        </w:rPr>
        <w:t>Journal of Interactive Online Learning, 8</w:t>
      </w:r>
      <w:r w:rsidRPr="00C25703">
        <w:rPr>
          <w:rFonts w:cs="Times New Roman"/>
        </w:rPr>
        <w:t>, 183-198.</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Tanner, J. R., Noser, T. C., &amp; Totaro, M. W. (2009). Business faculty and undergraduate students’ perceptions of online learning: A comparative study. </w:t>
      </w:r>
      <w:r w:rsidRPr="00C25703">
        <w:rPr>
          <w:rFonts w:cs="Times New Roman"/>
          <w:i/>
        </w:rPr>
        <w:t xml:space="preserve">Journal of </w:t>
      </w:r>
      <w:r w:rsidR="00297802">
        <w:rPr>
          <w:rFonts w:cs="Times New Roman"/>
          <w:i/>
        </w:rPr>
        <w:t>I</w:t>
      </w:r>
      <w:r w:rsidRPr="00C25703">
        <w:rPr>
          <w:rFonts w:cs="Times New Roman"/>
          <w:i/>
        </w:rPr>
        <w:t>nformation Systems Education, 20</w:t>
      </w:r>
      <w:r w:rsidRPr="00C25703">
        <w:rPr>
          <w:rFonts w:cs="Times New Roman"/>
        </w:rPr>
        <w:t>, 29-40.</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Turnbull, J. (2009). </w:t>
      </w:r>
      <w:r w:rsidRPr="00C25703">
        <w:rPr>
          <w:rFonts w:cs="Times New Roman"/>
          <w:i/>
        </w:rPr>
        <w:t>Coaching for learning: A practical guide for encouraging learning</w:t>
      </w:r>
      <w:r w:rsidRPr="00C25703">
        <w:rPr>
          <w:rFonts w:cs="Times New Roman"/>
        </w:rPr>
        <w:t>. London</w:t>
      </w:r>
      <w:r w:rsidR="00085E9D">
        <w:rPr>
          <w:rFonts w:cs="Times New Roman"/>
        </w:rPr>
        <w:t>, England</w:t>
      </w:r>
      <w:r w:rsidRPr="00C25703">
        <w:rPr>
          <w:rFonts w:cs="Times New Roman"/>
        </w:rPr>
        <w:t xml:space="preserve">: Continuum International Publishing. </w:t>
      </w:r>
    </w:p>
    <w:p w:rsidR="00C25703" w:rsidRPr="00C25703" w:rsidRDefault="00C25703" w:rsidP="00C25703">
      <w:pPr>
        <w:pStyle w:val="NormalWeb"/>
        <w:spacing w:before="0" w:beforeAutospacing="0" w:after="0" w:afterAutospacing="0"/>
        <w:ind w:left="720" w:hanging="720"/>
        <w:rPr>
          <w:rFonts w:cs="Times New Roman"/>
        </w:rPr>
      </w:pPr>
    </w:p>
    <w:p w:rsidR="00C25703" w:rsidRPr="00C25703" w:rsidRDefault="00C25703" w:rsidP="00C25703">
      <w:pPr>
        <w:ind w:left="720" w:hanging="720"/>
        <w:rPr>
          <w:rFonts w:cs="Times New Roman"/>
        </w:rPr>
      </w:pPr>
      <w:r w:rsidRPr="00C25703">
        <w:rPr>
          <w:rFonts w:cs="Times New Roman"/>
        </w:rPr>
        <w:t>van Rensburg, G.</w:t>
      </w:r>
      <w:r w:rsidR="00085E9D">
        <w:rPr>
          <w:rFonts w:cs="Times New Roman"/>
        </w:rPr>
        <w:t xml:space="preserve"> </w:t>
      </w:r>
      <w:r w:rsidRPr="00C25703">
        <w:rPr>
          <w:rFonts w:cs="Times New Roman"/>
        </w:rPr>
        <w:t xml:space="preserve">H. (2009). The development of a self-assessment learning style instrument for higher education. </w:t>
      </w:r>
      <w:r w:rsidRPr="00C25703">
        <w:rPr>
          <w:rFonts w:cs="Times New Roman"/>
          <w:i/>
        </w:rPr>
        <w:t>South African Journal of Higher Education, 23</w:t>
      </w:r>
      <w:r w:rsidRPr="00C25703">
        <w:rPr>
          <w:rFonts w:cs="Times New Roman"/>
        </w:rPr>
        <w:t>, 179-192.</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Vonderwell, S., &amp; Savery, J. (2004). Online learning: Student role and readiness. </w:t>
      </w:r>
      <w:r w:rsidRPr="00C25703">
        <w:rPr>
          <w:rFonts w:cs="Times New Roman"/>
          <w:i/>
        </w:rPr>
        <w:t>The Turkish Online Journal of Educational Technology 3</w:t>
      </w:r>
      <w:r w:rsidRPr="00C25703">
        <w:rPr>
          <w:rFonts w:cs="Times New Roman"/>
        </w:rPr>
        <w:t>(3), 38-42.</w:t>
      </w:r>
    </w:p>
    <w:p w:rsidR="00C25703" w:rsidRPr="00C25703" w:rsidRDefault="00C25703" w:rsidP="00C25703">
      <w:pPr>
        <w:ind w:left="720" w:hanging="720"/>
        <w:rPr>
          <w:rFonts w:cs="Times New Roman"/>
        </w:rPr>
      </w:pPr>
    </w:p>
    <w:p w:rsidR="00C25703" w:rsidRPr="00C25703" w:rsidRDefault="00C25703" w:rsidP="00C25703">
      <w:pPr>
        <w:ind w:left="720" w:hanging="720"/>
        <w:rPr>
          <w:rFonts w:cs="Times New Roman"/>
        </w:rPr>
      </w:pPr>
      <w:r w:rsidRPr="00C25703">
        <w:rPr>
          <w:rFonts w:cs="Times New Roman"/>
        </w:rPr>
        <w:t xml:space="preserve">Yaghoubi, J., Mohammadi, I., Iravani, H., Attaran, M., &amp; Gheidi, A. (2008). Virtual students’ perceptions of e-learning in Iran. </w:t>
      </w:r>
      <w:r w:rsidRPr="00C25703">
        <w:rPr>
          <w:rFonts w:cs="Times New Roman"/>
          <w:i/>
        </w:rPr>
        <w:t>The Turkish Online Journal of Educational Technology, 7</w:t>
      </w:r>
      <w:r w:rsidRPr="00C25703">
        <w:rPr>
          <w:rFonts w:cs="Times New Roman"/>
        </w:rPr>
        <w:t>, 89-95.</w:t>
      </w:r>
    </w:p>
    <w:p w:rsidR="00C25703" w:rsidRPr="00C25703" w:rsidRDefault="00C25703" w:rsidP="00C25703">
      <w:pPr>
        <w:ind w:left="720" w:hanging="720"/>
        <w:rPr>
          <w:rFonts w:cs="Times New Roman"/>
        </w:rPr>
      </w:pPr>
      <w:r w:rsidRPr="00C25703">
        <w:rPr>
          <w:rFonts w:cs="Times New Roman"/>
        </w:rPr>
        <w:t xml:space="preserve"> </w:t>
      </w:r>
    </w:p>
    <w:p w:rsidR="00C25703" w:rsidRPr="00C25703" w:rsidRDefault="00C25703" w:rsidP="00C25703">
      <w:pPr>
        <w:autoSpaceDE w:val="0"/>
        <w:autoSpaceDN w:val="0"/>
        <w:adjustRightInd w:val="0"/>
        <w:ind w:left="1440" w:hanging="1440"/>
        <w:rPr>
          <w:rFonts w:cs="Times New Roman"/>
        </w:rPr>
      </w:pPr>
      <w:r w:rsidRPr="00C25703">
        <w:rPr>
          <w:rFonts w:cs="Times New Roman"/>
        </w:rPr>
        <w:t xml:space="preserve">Yin, R. K. (2009). </w:t>
      </w:r>
      <w:r w:rsidRPr="00C25703">
        <w:rPr>
          <w:rFonts w:cs="Times New Roman"/>
          <w:i/>
          <w:iCs/>
        </w:rPr>
        <w:t xml:space="preserve">Case study research: Design and methods </w:t>
      </w:r>
      <w:r w:rsidRPr="00C25703">
        <w:rPr>
          <w:rFonts w:cs="Times New Roman"/>
        </w:rPr>
        <w:t>(4th ed.). Thousand Oaks,</w:t>
      </w:r>
    </w:p>
    <w:p w:rsidR="00C25703" w:rsidRPr="00C25703" w:rsidRDefault="00C25703" w:rsidP="00C25703">
      <w:pPr>
        <w:ind w:left="1440" w:hanging="720"/>
        <w:rPr>
          <w:rFonts w:cs="Times New Roman"/>
        </w:rPr>
      </w:pPr>
      <w:r w:rsidRPr="00C25703">
        <w:rPr>
          <w:rFonts w:cs="Times New Roman"/>
        </w:rPr>
        <w:t>CA: Sage.</w:t>
      </w:r>
    </w:p>
    <w:p w:rsidR="00C25703" w:rsidRPr="00C25703" w:rsidRDefault="00C25703" w:rsidP="00C25703">
      <w:pPr>
        <w:ind w:left="720" w:hanging="720"/>
        <w:rPr>
          <w:rFonts w:cs="Times New Roman"/>
        </w:rPr>
      </w:pPr>
    </w:p>
    <w:p w:rsidR="00C25703" w:rsidRDefault="00C25703" w:rsidP="00C25703">
      <w:pPr>
        <w:ind w:left="720" w:hanging="720"/>
        <w:rPr>
          <w:rFonts w:cs="Times New Roman"/>
          <w:i/>
        </w:rPr>
      </w:pPr>
      <w:r w:rsidRPr="00C25703">
        <w:rPr>
          <w:rFonts w:cs="Times New Roman"/>
        </w:rPr>
        <w:t xml:space="preserve">Zapalska, A., &amp; Brozik, D. (2006). Learning styles and online education. </w:t>
      </w:r>
      <w:r w:rsidRPr="00C25703">
        <w:rPr>
          <w:rFonts w:cs="Times New Roman"/>
          <w:i/>
        </w:rPr>
        <w:t>Campus Wide Information Systems, 27</w:t>
      </w:r>
      <w:r w:rsidRPr="00C25703">
        <w:rPr>
          <w:rFonts w:cs="Times New Roman"/>
        </w:rPr>
        <w:t>,</w:t>
      </w:r>
      <w:r w:rsidRPr="00C25703">
        <w:rPr>
          <w:rFonts w:cs="Times New Roman"/>
          <w:i/>
        </w:rPr>
        <w:t xml:space="preserve"> </w:t>
      </w:r>
      <w:r w:rsidRPr="00C25703">
        <w:rPr>
          <w:rFonts w:cs="Times New Roman"/>
        </w:rPr>
        <w:t>325-335.</w:t>
      </w:r>
      <w:r w:rsidRPr="00C25703">
        <w:rPr>
          <w:rFonts w:cs="Times New Roman"/>
          <w:i/>
        </w:rPr>
        <w:t xml:space="preserve"> </w:t>
      </w:r>
    </w:p>
    <w:p w:rsidR="00583786" w:rsidRDefault="00583786" w:rsidP="00C25703">
      <w:pPr>
        <w:ind w:left="720" w:hanging="720"/>
        <w:rPr>
          <w:rFonts w:cs="Times New Roman"/>
          <w:i/>
        </w:rPr>
      </w:pPr>
    </w:p>
    <w:p w:rsidR="00583786" w:rsidRPr="00583786" w:rsidRDefault="00583786" w:rsidP="00C25703">
      <w:pPr>
        <w:ind w:left="720" w:hanging="720"/>
        <w:rPr>
          <w:rFonts w:cs="Times New Roman"/>
        </w:rPr>
      </w:pPr>
      <w:r>
        <w:rPr>
          <w:rFonts w:cs="Times New Roman"/>
        </w:rPr>
        <w:t xml:space="preserve">Zulkiply, N., Kabit, M., &amp; Ghani, K. (2008). Metacognition: What roles does it play in students’ academic performance? </w:t>
      </w:r>
      <w:r w:rsidRPr="00583786">
        <w:rPr>
          <w:rFonts w:cs="Times New Roman"/>
          <w:i/>
        </w:rPr>
        <w:t>The International Journal of Learning, 15</w:t>
      </w:r>
      <w:r>
        <w:rPr>
          <w:rFonts w:cs="Times New Roman"/>
        </w:rPr>
        <w:t>(11), 97-105.</w:t>
      </w:r>
    </w:p>
    <w:bookmarkEnd w:id="0"/>
    <w:bookmarkEnd w:id="1"/>
    <w:p w:rsidR="00A66E23" w:rsidRPr="00EA1AF2" w:rsidRDefault="00A66E23" w:rsidP="00C93786">
      <w:pPr>
        <w:pStyle w:val="Heading1notbold"/>
        <w:jc w:val="left"/>
      </w:pPr>
    </w:p>
    <w:p w:rsidR="00C57848" w:rsidRPr="00A03928" w:rsidRDefault="00A66E23" w:rsidP="00C93786">
      <w:pPr>
        <w:pStyle w:val="Heading1"/>
      </w:pPr>
      <w:r w:rsidRPr="00EA1AF2">
        <w:br w:type="page"/>
      </w:r>
    </w:p>
    <w:p w:rsidR="00C57848" w:rsidRDefault="00C57848" w:rsidP="002F1976">
      <w:pPr>
        <w:pStyle w:val="Heading1"/>
      </w:pPr>
    </w:p>
    <w:sectPr w:rsidR="00C57848" w:rsidSect="00C93786">
      <w:headerReference w:type="default" r:id="rId14"/>
      <w:pgSz w:w="12240" w:h="15840" w:code="1"/>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BA7" w:rsidRDefault="000F1BA7">
      <w:r>
        <w:separator/>
      </w:r>
    </w:p>
  </w:endnote>
  <w:endnote w:type="continuationSeparator" w:id="0">
    <w:p w:rsidR="000F1BA7" w:rsidRDefault="000F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19395"/>
      <w:docPartObj>
        <w:docPartGallery w:val="Page Numbers (Bottom of Page)"/>
        <w:docPartUnique/>
      </w:docPartObj>
    </w:sdtPr>
    <w:sdtEndPr/>
    <w:sdtContent>
      <w:p w:rsidR="00D06306" w:rsidRPr="00BA7FCB" w:rsidRDefault="00D06306">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D06306" w:rsidRDefault="00D06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385661"/>
      <w:docPartObj>
        <w:docPartGallery w:val="Page Numbers (Bottom of Page)"/>
        <w:docPartUnique/>
      </w:docPartObj>
    </w:sdtPr>
    <w:sdtEndPr>
      <w:rPr>
        <w:noProof/>
      </w:rPr>
    </w:sdtEndPr>
    <w:sdtContent>
      <w:p w:rsidR="00D06306" w:rsidRPr="00BA7FCB" w:rsidRDefault="000F1BA7">
        <w:pPr>
          <w:pStyle w:val="Footer"/>
          <w:jc w:val="center"/>
        </w:pPr>
      </w:p>
    </w:sdtContent>
  </w:sdt>
  <w:p w:rsidR="00D06306" w:rsidRDefault="00D06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6" w:rsidRDefault="00D06306" w:rsidP="00932945">
    <w:pPr>
      <w:pStyle w:val="Footer"/>
      <w:jc w:val="center"/>
    </w:pPr>
    <w:r>
      <w:fldChar w:fldCharType="begin"/>
    </w:r>
    <w:r>
      <w:instrText xml:space="preserve"> PAGE   \* MERGEFORMAT </w:instrText>
    </w:r>
    <w:r>
      <w:fldChar w:fldCharType="separate"/>
    </w:r>
    <w:r w:rsidR="00F67B21">
      <w:rPr>
        <w:noProof/>
      </w:rPr>
      <w:t>20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611142"/>
      <w:docPartObj>
        <w:docPartGallery w:val="Page Numbers (Bottom of Page)"/>
        <w:docPartUnique/>
      </w:docPartObj>
    </w:sdtPr>
    <w:sdtEndPr>
      <w:rPr>
        <w:noProof/>
      </w:rPr>
    </w:sdtEndPr>
    <w:sdtContent>
      <w:p w:rsidR="00D06306" w:rsidRPr="00BA7FCB" w:rsidRDefault="00D0630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D06306" w:rsidRDefault="00D06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BA7" w:rsidRDefault="000F1BA7">
      <w:r>
        <w:separator/>
      </w:r>
    </w:p>
  </w:footnote>
  <w:footnote w:type="continuationSeparator" w:id="0">
    <w:p w:rsidR="000F1BA7" w:rsidRDefault="000F1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6" w:rsidRDefault="00D06306">
    <w:pPr>
      <w:pStyle w:val="Header"/>
      <w:jc w:val="right"/>
    </w:pPr>
  </w:p>
  <w:p w:rsidR="00D06306" w:rsidRDefault="00D06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06" w:rsidRPr="00FB723A" w:rsidRDefault="00D06306">
    <w:pPr>
      <w:pStyle w:val="Header"/>
      <w:jc w:val="right"/>
      <w:rPr>
        <w:rFonts w:cs="Times New Roman"/>
      </w:rPr>
    </w:pPr>
    <w:r w:rsidRPr="00FB723A">
      <w:rPr>
        <w:rFonts w:cs="Times New Roman"/>
      </w:rPr>
      <w:fldChar w:fldCharType="begin"/>
    </w:r>
    <w:r w:rsidRPr="00FB723A">
      <w:rPr>
        <w:rFonts w:cs="Times New Roman"/>
      </w:rPr>
      <w:instrText xml:space="preserve"> PAGE   \* MERGEFORMAT </w:instrText>
    </w:r>
    <w:r w:rsidRPr="00FB723A">
      <w:rPr>
        <w:rFonts w:cs="Times New Roman"/>
      </w:rPr>
      <w:fldChar w:fldCharType="separate"/>
    </w:r>
    <w:r w:rsidR="00F67B21">
      <w:rPr>
        <w:rFonts w:cs="Times New Roman"/>
        <w:noProof/>
      </w:rPr>
      <w:t>20</w:t>
    </w:r>
    <w:r w:rsidRPr="00FB723A">
      <w:rPr>
        <w:rFonts w:cs="Times New Roman"/>
      </w:rPr>
      <w:fldChar w:fldCharType="end"/>
    </w:r>
  </w:p>
  <w:p w:rsidR="00D06306" w:rsidRPr="00126B61" w:rsidRDefault="00D06306" w:rsidP="004B0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3BA0DA2"/>
    <w:lvl w:ilvl="0">
      <w:start w:val="1"/>
      <w:numFmt w:val="bullet"/>
      <w:pStyle w:val="ListBullet"/>
      <w:lvlText w:val=""/>
      <w:lvlJc w:val="left"/>
      <w:pPr>
        <w:tabs>
          <w:tab w:val="num" w:pos="360"/>
        </w:tabs>
        <w:ind w:left="360" w:hanging="360"/>
      </w:pPr>
      <w:rPr>
        <w:rFonts w:ascii="Symbol" w:hAnsi="Symbol" w:cs="MS Mincho" w:hint="default"/>
      </w:rPr>
    </w:lvl>
  </w:abstractNum>
  <w:abstractNum w:abstractNumId="1" w15:restartNumberingAfterBreak="0">
    <w:nsid w:val="036F5955"/>
    <w:multiLevelType w:val="multilevel"/>
    <w:tmpl w:val="D7C2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016F9"/>
    <w:multiLevelType w:val="hybridMultilevel"/>
    <w:tmpl w:val="BC6E3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2FA1"/>
    <w:multiLevelType w:val="multilevel"/>
    <w:tmpl w:val="F9A6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A2885"/>
    <w:multiLevelType w:val="hybridMultilevel"/>
    <w:tmpl w:val="45B6CAF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ECE1613"/>
    <w:multiLevelType w:val="hybridMultilevel"/>
    <w:tmpl w:val="C7D01BA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1360443"/>
    <w:multiLevelType w:val="hybridMultilevel"/>
    <w:tmpl w:val="C7D01BA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E8213FC"/>
    <w:multiLevelType w:val="hybridMultilevel"/>
    <w:tmpl w:val="5E1A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2F8C"/>
    <w:multiLevelType w:val="hybridMultilevel"/>
    <w:tmpl w:val="AD90F4A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A77578A"/>
    <w:multiLevelType w:val="multilevel"/>
    <w:tmpl w:val="FD02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C4390"/>
    <w:multiLevelType w:val="hybridMultilevel"/>
    <w:tmpl w:val="470E45D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612644DA"/>
    <w:multiLevelType w:val="hybridMultilevel"/>
    <w:tmpl w:val="5AA27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69C10EC"/>
    <w:multiLevelType w:val="hybridMultilevel"/>
    <w:tmpl w:val="20469FC0"/>
    <w:lvl w:ilvl="0" w:tplc="831AE2D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87735AA"/>
    <w:multiLevelType w:val="multilevel"/>
    <w:tmpl w:val="C56096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789548D8"/>
    <w:multiLevelType w:val="hybridMultilevel"/>
    <w:tmpl w:val="E9D2B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1C4431"/>
    <w:multiLevelType w:val="hybridMultilevel"/>
    <w:tmpl w:val="8A042F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7A3B7965"/>
    <w:multiLevelType w:val="hybridMultilevel"/>
    <w:tmpl w:val="C3BA43DC"/>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C367C36"/>
    <w:multiLevelType w:val="hybridMultilevel"/>
    <w:tmpl w:val="E7646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C45C4"/>
    <w:multiLevelType w:val="hybridMultilevel"/>
    <w:tmpl w:val="4CAE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15"/>
  </w:num>
  <w:num w:numId="5">
    <w:abstractNumId w:val="8"/>
  </w:num>
  <w:num w:numId="6">
    <w:abstractNumId w:val="4"/>
  </w:num>
  <w:num w:numId="7">
    <w:abstractNumId w:val="10"/>
  </w:num>
  <w:num w:numId="8">
    <w:abstractNumId w:val="16"/>
  </w:num>
  <w:num w:numId="9">
    <w:abstractNumId w:val="17"/>
  </w:num>
  <w:num w:numId="10">
    <w:abstractNumId w:val="12"/>
  </w:num>
  <w:num w:numId="11">
    <w:abstractNumId w:val="5"/>
  </w:num>
  <w:num w:numId="12">
    <w:abstractNumId w:val="13"/>
  </w:num>
  <w:num w:numId="13">
    <w:abstractNumId w:val="9"/>
  </w:num>
  <w:num w:numId="14">
    <w:abstractNumId w:val="1"/>
  </w:num>
  <w:num w:numId="15">
    <w:abstractNumId w:val="3"/>
  </w:num>
  <w:num w:numId="16">
    <w:abstractNumId w:val="18"/>
  </w:num>
  <w:num w:numId="17">
    <w:abstractNumId w:val="14"/>
  </w:num>
  <w:num w:numId="18">
    <w:abstractNumId w:val="7"/>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defaultTabStop w:val="720"/>
  <w:hyphenationZone w:val="283"/>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27"/>
    <w:rsid w:val="000011B9"/>
    <w:rsid w:val="00003796"/>
    <w:rsid w:val="00003D4E"/>
    <w:rsid w:val="000069F0"/>
    <w:rsid w:val="000073A0"/>
    <w:rsid w:val="0000784C"/>
    <w:rsid w:val="00010A06"/>
    <w:rsid w:val="00011462"/>
    <w:rsid w:val="00013FA5"/>
    <w:rsid w:val="0001427D"/>
    <w:rsid w:val="00020B7C"/>
    <w:rsid w:val="00020C76"/>
    <w:rsid w:val="0002330F"/>
    <w:rsid w:val="00023D5A"/>
    <w:rsid w:val="000307D9"/>
    <w:rsid w:val="000312C7"/>
    <w:rsid w:val="000325B2"/>
    <w:rsid w:val="00037032"/>
    <w:rsid w:val="000375A1"/>
    <w:rsid w:val="00041AA0"/>
    <w:rsid w:val="000420B9"/>
    <w:rsid w:val="0005148C"/>
    <w:rsid w:val="00051DF4"/>
    <w:rsid w:val="00054FD6"/>
    <w:rsid w:val="00055BAA"/>
    <w:rsid w:val="0006080C"/>
    <w:rsid w:val="00061249"/>
    <w:rsid w:val="00062109"/>
    <w:rsid w:val="00063BCB"/>
    <w:rsid w:val="00066250"/>
    <w:rsid w:val="0006702F"/>
    <w:rsid w:val="00067E30"/>
    <w:rsid w:val="00071415"/>
    <w:rsid w:val="000740B6"/>
    <w:rsid w:val="00074BD4"/>
    <w:rsid w:val="00074D63"/>
    <w:rsid w:val="00075A72"/>
    <w:rsid w:val="000779CD"/>
    <w:rsid w:val="000817F7"/>
    <w:rsid w:val="00085D77"/>
    <w:rsid w:val="00085E9D"/>
    <w:rsid w:val="00090E6F"/>
    <w:rsid w:val="00091408"/>
    <w:rsid w:val="000933C3"/>
    <w:rsid w:val="000950C2"/>
    <w:rsid w:val="00096257"/>
    <w:rsid w:val="0009662D"/>
    <w:rsid w:val="00097E48"/>
    <w:rsid w:val="000A1AFC"/>
    <w:rsid w:val="000A29D7"/>
    <w:rsid w:val="000A369B"/>
    <w:rsid w:val="000A57D1"/>
    <w:rsid w:val="000B0DBE"/>
    <w:rsid w:val="000B128D"/>
    <w:rsid w:val="000B4557"/>
    <w:rsid w:val="000B5786"/>
    <w:rsid w:val="000B767D"/>
    <w:rsid w:val="000B7B21"/>
    <w:rsid w:val="000C1BD0"/>
    <w:rsid w:val="000C2F68"/>
    <w:rsid w:val="000C3FAD"/>
    <w:rsid w:val="000C43AC"/>
    <w:rsid w:val="000C5B1E"/>
    <w:rsid w:val="000C5FE3"/>
    <w:rsid w:val="000C70AD"/>
    <w:rsid w:val="000D5343"/>
    <w:rsid w:val="000D59C1"/>
    <w:rsid w:val="000D630F"/>
    <w:rsid w:val="000E1660"/>
    <w:rsid w:val="000E1C94"/>
    <w:rsid w:val="000E4F02"/>
    <w:rsid w:val="000E7410"/>
    <w:rsid w:val="000E7694"/>
    <w:rsid w:val="000E7B23"/>
    <w:rsid w:val="000F179D"/>
    <w:rsid w:val="000F1BA7"/>
    <w:rsid w:val="000F352C"/>
    <w:rsid w:val="000F4660"/>
    <w:rsid w:val="001010DE"/>
    <w:rsid w:val="0010437E"/>
    <w:rsid w:val="00104569"/>
    <w:rsid w:val="00107396"/>
    <w:rsid w:val="001132E3"/>
    <w:rsid w:val="00114854"/>
    <w:rsid w:val="00114E1C"/>
    <w:rsid w:val="00114E56"/>
    <w:rsid w:val="001163CE"/>
    <w:rsid w:val="001209BB"/>
    <w:rsid w:val="00120AD0"/>
    <w:rsid w:val="00121145"/>
    <w:rsid w:val="00121465"/>
    <w:rsid w:val="00123953"/>
    <w:rsid w:val="001239DD"/>
    <w:rsid w:val="001245D1"/>
    <w:rsid w:val="00125806"/>
    <w:rsid w:val="0012712F"/>
    <w:rsid w:val="00130511"/>
    <w:rsid w:val="00130B9D"/>
    <w:rsid w:val="00130F8F"/>
    <w:rsid w:val="00140A64"/>
    <w:rsid w:val="00144665"/>
    <w:rsid w:val="00145929"/>
    <w:rsid w:val="001468CF"/>
    <w:rsid w:val="001519E3"/>
    <w:rsid w:val="00151E57"/>
    <w:rsid w:val="00153ACE"/>
    <w:rsid w:val="001543AA"/>
    <w:rsid w:val="00154FE6"/>
    <w:rsid w:val="001574C7"/>
    <w:rsid w:val="00157801"/>
    <w:rsid w:val="00162117"/>
    <w:rsid w:val="00164201"/>
    <w:rsid w:val="001724BB"/>
    <w:rsid w:val="00173775"/>
    <w:rsid w:val="00173B42"/>
    <w:rsid w:val="001741F0"/>
    <w:rsid w:val="00175116"/>
    <w:rsid w:val="001764B7"/>
    <w:rsid w:val="00177C3D"/>
    <w:rsid w:val="00177CF4"/>
    <w:rsid w:val="00184579"/>
    <w:rsid w:val="00184F85"/>
    <w:rsid w:val="001851D2"/>
    <w:rsid w:val="00186304"/>
    <w:rsid w:val="00186A61"/>
    <w:rsid w:val="00186DBA"/>
    <w:rsid w:val="001874D2"/>
    <w:rsid w:val="00190883"/>
    <w:rsid w:val="00192221"/>
    <w:rsid w:val="001941FA"/>
    <w:rsid w:val="001948C9"/>
    <w:rsid w:val="00194AF5"/>
    <w:rsid w:val="00196094"/>
    <w:rsid w:val="00196AF4"/>
    <w:rsid w:val="0019725B"/>
    <w:rsid w:val="001A12AA"/>
    <w:rsid w:val="001A1541"/>
    <w:rsid w:val="001B0AAB"/>
    <w:rsid w:val="001B1E9B"/>
    <w:rsid w:val="001B324A"/>
    <w:rsid w:val="001B3A2F"/>
    <w:rsid w:val="001B4FB8"/>
    <w:rsid w:val="001B5E50"/>
    <w:rsid w:val="001C0964"/>
    <w:rsid w:val="001C1046"/>
    <w:rsid w:val="001C10AA"/>
    <w:rsid w:val="001C3039"/>
    <w:rsid w:val="001C332B"/>
    <w:rsid w:val="001C442F"/>
    <w:rsid w:val="001C5457"/>
    <w:rsid w:val="001C556F"/>
    <w:rsid w:val="001D114F"/>
    <w:rsid w:val="001D6B46"/>
    <w:rsid w:val="001D706A"/>
    <w:rsid w:val="001D7A3A"/>
    <w:rsid w:val="001E1B18"/>
    <w:rsid w:val="001E259B"/>
    <w:rsid w:val="001E3030"/>
    <w:rsid w:val="001E307F"/>
    <w:rsid w:val="001E3C4F"/>
    <w:rsid w:val="001E4BE1"/>
    <w:rsid w:val="001E52B4"/>
    <w:rsid w:val="001E68B2"/>
    <w:rsid w:val="001E6B04"/>
    <w:rsid w:val="001E78A7"/>
    <w:rsid w:val="001F04E7"/>
    <w:rsid w:val="001F2B98"/>
    <w:rsid w:val="001F5200"/>
    <w:rsid w:val="001F58C2"/>
    <w:rsid w:val="001F5A8A"/>
    <w:rsid w:val="001F5B3D"/>
    <w:rsid w:val="001F62D0"/>
    <w:rsid w:val="001F6C02"/>
    <w:rsid w:val="001F6C77"/>
    <w:rsid w:val="002004F9"/>
    <w:rsid w:val="00204B33"/>
    <w:rsid w:val="002054DC"/>
    <w:rsid w:val="00210AC9"/>
    <w:rsid w:val="00211246"/>
    <w:rsid w:val="00213C93"/>
    <w:rsid w:val="002147C6"/>
    <w:rsid w:val="00215FC3"/>
    <w:rsid w:val="00216727"/>
    <w:rsid w:val="00217F46"/>
    <w:rsid w:val="00220812"/>
    <w:rsid w:val="002210C6"/>
    <w:rsid w:val="002212C9"/>
    <w:rsid w:val="00221937"/>
    <w:rsid w:val="00224986"/>
    <w:rsid w:val="00237D68"/>
    <w:rsid w:val="0024049C"/>
    <w:rsid w:val="002408CD"/>
    <w:rsid w:val="0024092F"/>
    <w:rsid w:val="0024140E"/>
    <w:rsid w:val="00241697"/>
    <w:rsid w:val="00245214"/>
    <w:rsid w:val="0024660C"/>
    <w:rsid w:val="002468A6"/>
    <w:rsid w:val="0024694F"/>
    <w:rsid w:val="00247BFD"/>
    <w:rsid w:val="00251F0A"/>
    <w:rsid w:val="00252AC7"/>
    <w:rsid w:val="00252D62"/>
    <w:rsid w:val="00253CE9"/>
    <w:rsid w:val="00255E82"/>
    <w:rsid w:val="00260DC6"/>
    <w:rsid w:val="00263192"/>
    <w:rsid w:val="00264CD1"/>
    <w:rsid w:val="00265294"/>
    <w:rsid w:val="002678BD"/>
    <w:rsid w:val="00270E3E"/>
    <w:rsid w:val="00271FBE"/>
    <w:rsid w:val="00273184"/>
    <w:rsid w:val="00276E18"/>
    <w:rsid w:val="00282F9D"/>
    <w:rsid w:val="0028507A"/>
    <w:rsid w:val="00285B57"/>
    <w:rsid w:val="00285EEA"/>
    <w:rsid w:val="00292F4A"/>
    <w:rsid w:val="00296BF0"/>
    <w:rsid w:val="00296FF2"/>
    <w:rsid w:val="00297802"/>
    <w:rsid w:val="002A0894"/>
    <w:rsid w:val="002A0FAC"/>
    <w:rsid w:val="002A4DCC"/>
    <w:rsid w:val="002A6FCF"/>
    <w:rsid w:val="002B4179"/>
    <w:rsid w:val="002B4C54"/>
    <w:rsid w:val="002B6D6A"/>
    <w:rsid w:val="002C1028"/>
    <w:rsid w:val="002C11B4"/>
    <w:rsid w:val="002C185C"/>
    <w:rsid w:val="002C459D"/>
    <w:rsid w:val="002C4C32"/>
    <w:rsid w:val="002C530F"/>
    <w:rsid w:val="002C5AD0"/>
    <w:rsid w:val="002C7CE7"/>
    <w:rsid w:val="002D2611"/>
    <w:rsid w:val="002E13E7"/>
    <w:rsid w:val="002E1529"/>
    <w:rsid w:val="002E4B3B"/>
    <w:rsid w:val="002E6C50"/>
    <w:rsid w:val="002E6CB3"/>
    <w:rsid w:val="002E7878"/>
    <w:rsid w:val="002F1976"/>
    <w:rsid w:val="002F28A2"/>
    <w:rsid w:val="002F28BE"/>
    <w:rsid w:val="002F39D1"/>
    <w:rsid w:val="002F42AE"/>
    <w:rsid w:val="002F57B4"/>
    <w:rsid w:val="002F5808"/>
    <w:rsid w:val="002F5A72"/>
    <w:rsid w:val="00300D2C"/>
    <w:rsid w:val="00304F20"/>
    <w:rsid w:val="00304FF9"/>
    <w:rsid w:val="003059BB"/>
    <w:rsid w:val="00305A5A"/>
    <w:rsid w:val="00305B15"/>
    <w:rsid w:val="00305EFB"/>
    <w:rsid w:val="003142E3"/>
    <w:rsid w:val="00320942"/>
    <w:rsid w:val="003246B9"/>
    <w:rsid w:val="00325789"/>
    <w:rsid w:val="0032598A"/>
    <w:rsid w:val="00333899"/>
    <w:rsid w:val="003355A6"/>
    <w:rsid w:val="0033653B"/>
    <w:rsid w:val="00336660"/>
    <w:rsid w:val="00340A74"/>
    <w:rsid w:val="00340E87"/>
    <w:rsid w:val="00344525"/>
    <w:rsid w:val="0034504A"/>
    <w:rsid w:val="003456D1"/>
    <w:rsid w:val="00345CA6"/>
    <w:rsid w:val="00346872"/>
    <w:rsid w:val="00351117"/>
    <w:rsid w:val="003512A2"/>
    <w:rsid w:val="00351CDF"/>
    <w:rsid w:val="003546D6"/>
    <w:rsid w:val="00357A06"/>
    <w:rsid w:val="00360500"/>
    <w:rsid w:val="00362C8E"/>
    <w:rsid w:val="00363C60"/>
    <w:rsid w:val="003649E5"/>
    <w:rsid w:val="00365FBA"/>
    <w:rsid w:val="003677A2"/>
    <w:rsid w:val="00371680"/>
    <w:rsid w:val="00375961"/>
    <w:rsid w:val="00377CCF"/>
    <w:rsid w:val="00377EE0"/>
    <w:rsid w:val="003829C1"/>
    <w:rsid w:val="00392075"/>
    <w:rsid w:val="00392E5F"/>
    <w:rsid w:val="003941EC"/>
    <w:rsid w:val="00395808"/>
    <w:rsid w:val="003959E0"/>
    <w:rsid w:val="00397B3D"/>
    <w:rsid w:val="003A38A5"/>
    <w:rsid w:val="003A3AE0"/>
    <w:rsid w:val="003A5DD7"/>
    <w:rsid w:val="003A5F0D"/>
    <w:rsid w:val="003A5FE0"/>
    <w:rsid w:val="003B37F3"/>
    <w:rsid w:val="003B52CE"/>
    <w:rsid w:val="003B5DD3"/>
    <w:rsid w:val="003C2BE2"/>
    <w:rsid w:val="003C7A4D"/>
    <w:rsid w:val="003D22C2"/>
    <w:rsid w:val="003D2340"/>
    <w:rsid w:val="003D24CB"/>
    <w:rsid w:val="003D2CD4"/>
    <w:rsid w:val="003D309A"/>
    <w:rsid w:val="003D3C9C"/>
    <w:rsid w:val="003D66D8"/>
    <w:rsid w:val="003D72A2"/>
    <w:rsid w:val="003D73E6"/>
    <w:rsid w:val="003E17EF"/>
    <w:rsid w:val="003E19E8"/>
    <w:rsid w:val="003E56D9"/>
    <w:rsid w:val="003F0D8D"/>
    <w:rsid w:val="003F1A73"/>
    <w:rsid w:val="003F33CB"/>
    <w:rsid w:val="003F40AD"/>
    <w:rsid w:val="003F7E34"/>
    <w:rsid w:val="00401D1E"/>
    <w:rsid w:val="00403040"/>
    <w:rsid w:val="00404740"/>
    <w:rsid w:val="004047DF"/>
    <w:rsid w:val="00404CC8"/>
    <w:rsid w:val="00404EA3"/>
    <w:rsid w:val="00407CDB"/>
    <w:rsid w:val="00407CE6"/>
    <w:rsid w:val="004167F3"/>
    <w:rsid w:val="00416F6C"/>
    <w:rsid w:val="0041709C"/>
    <w:rsid w:val="00417764"/>
    <w:rsid w:val="00417913"/>
    <w:rsid w:val="0042077F"/>
    <w:rsid w:val="004214A6"/>
    <w:rsid w:val="004230A3"/>
    <w:rsid w:val="004234AB"/>
    <w:rsid w:val="0042353A"/>
    <w:rsid w:val="00423D0B"/>
    <w:rsid w:val="00426075"/>
    <w:rsid w:val="00426412"/>
    <w:rsid w:val="0043281C"/>
    <w:rsid w:val="00433BD5"/>
    <w:rsid w:val="00433DD5"/>
    <w:rsid w:val="00434E37"/>
    <w:rsid w:val="00434E38"/>
    <w:rsid w:val="004350C0"/>
    <w:rsid w:val="00435716"/>
    <w:rsid w:val="004366E8"/>
    <w:rsid w:val="00436A7A"/>
    <w:rsid w:val="00437E44"/>
    <w:rsid w:val="00440FD8"/>
    <w:rsid w:val="00443CC4"/>
    <w:rsid w:val="00446E41"/>
    <w:rsid w:val="00451C0A"/>
    <w:rsid w:val="00452283"/>
    <w:rsid w:val="00453EF8"/>
    <w:rsid w:val="00457137"/>
    <w:rsid w:val="0045730D"/>
    <w:rsid w:val="00460E6E"/>
    <w:rsid w:val="00461CC4"/>
    <w:rsid w:val="00464640"/>
    <w:rsid w:val="00467494"/>
    <w:rsid w:val="004676E6"/>
    <w:rsid w:val="00471DF6"/>
    <w:rsid w:val="0047518F"/>
    <w:rsid w:val="00477DAD"/>
    <w:rsid w:val="0048055F"/>
    <w:rsid w:val="004813FF"/>
    <w:rsid w:val="0048162E"/>
    <w:rsid w:val="00481742"/>
    <w:rsid w:val="004823A4"/>
    <w:rsid w:val="004832BA"/>
    <w:rsid w:val="004856B1"/>
    <w:rsid w:val="004863E0"/>
    <w:rsid w:val="00486C47"/>
    <w:rsid w:val="00486D3C"/>
    <w:rsid w:val="00491E5A"/>
    <w:rsid w:val="004920AD"/>
    <w:rsid w:val="004937CD"/>
    <w:rsid w:val="00493E04"/>
    <w:rsid w:val="004948B0"/>
    <w:rsid w:val="00494A95"/>
    <w:rsid w:val="004953D1"/>
    <w:rsid w:val="004967F2"/>
    <w:rsid w:val="00497034"/>
    <w:rsid w:val="004A6588"/>
    <w:rsid w:val="004A778F"/>
    <w:rsid w:val="004A7A86"/>
    <w:rsid w:val="004B0CD0"/>
    <w:rsid w:val="004B0E8D"/>
    <w:rsid w:val="004B3347"/>
    <w:rsid w:val="004B54D3"/>
    <w:rsid w:val="004B5EC8"/>
    <w:rsid w:val="004B7FD0"/>
    <w:rsid w:val="004C2DE8"/>
    <w:rsid w:val="004C3545"/>
    <w:rsid w:val="004C6B2C"/>
    <w:rsid w:val="004C786C"/>
    <w:rsid w:val="004C7ABC"/>
    <w:rsid w:val="004D3E98"/>
    <w:rsid w:val="004D4FE4"/>
    <w:rsid w:val="004E124B"/>
    <w:rsid w:val="004E38DD"/>
    <w:rsid w:val="004E6793"/>
    <w:rsid w:val="004F0A96"/>
    <w:rsid w:val="004F1DF0"/>
    <w:rsid w:val="004F2EFB"/>
    <w:rsid w:val="004F2F19"/>
    <w:rsid w:val="004F36B5"/>
    <w:rsid w:val="004F447D"/>
    <w:rsid w:val="004F6979"/>
    <w:rsid w:val="00501D76"/>
    <w:rsid w:val="0050315B"/>
    <w:rsid w:val="00504144"/>
    <w:rsid w:val="00517792"/>
    <w:rsid w:val="00522C10"/>
    <w:rsid w:val="00534C24"/>
    <w:rsid w:val="00536158"/>
    <w:rsid w:val="00537BCD"/>
    <w:rsid w:val="005409B1"/>
    <w:rsid w:val="0054150E"/>
    <w:rsid w:val="00541C08"/>
    <w:rsid w:val="00543FE3"/>
    <w:rsid w:val="00550B7D"/>
    <w:rsid w:val="00551239"/>
    <w:rsid w:val="005516F0"/>
    <w:rsid w:val="00555DC0"/>
    <w:rsid w:val="00556320"/>
    <w:rsid w:val="00556CB4"/>
    <w:rsid w:val="00556DD2"/>
    <w:rsid w:val="00557AD4"/>
    <w:rsid w:val="00557AFD"/>
    <w:rsid w:val="0056159D"/>
    <w:rsid w:val="00562530"/>
    <w:rsid w:val="0056393D"/>
    <w:rsid w:val="00565C72"/>
    <w:rsid w:val="00566F81"/>
    <w:rsid w:val="00567C50"/>
    <w:rsid w:val="00567F67"/>
    <w:rsid w:val="00570EB5"/>
    <w:rsid w:val="00572124"/>
    <w:rsid w:val="0057257C"/>
    <w:rsid w:val="00572D4B"/>
    <w:rsid w:val="00573EED"/>
    <w:rsid w:val="005761E2"/>
    <w:rsid w:val="00583786"/>
    <w:rsid w:val="00583EB2"/>
    <w:rsid w:val="00584EF0"/>
    <w:rsid w:val="00585C73"/>
    <w:rsid w:val="00586618"/>
    <w:rsid w:val="0058692E"/>
    <w:rsid w:val="00587B1C"/>
    <w:rsid w:val="00587FB6"/>
    <w:rsid w:val="005905BA"/>
    <w:rsid w:val="00593BB8"/>
    <w:rsid w:val="00596022"/>
    <w:rsid w:val="00596E5A"/>
    <w:rsid w:val="0059723C"/>
    <w:rsid w:val="005979F9"/>
    <w:rsid w:val="005A3D0C"/>
    <w:rsid w:val="005A41E5"/>
    <w:rsid w:val="005A5201"/>
    <w:rsid w:val="005A5224"/>
    <w:rsid w:val="005A5381"/>
    <w:rsid w:val="005B1992"/>
    <w:rsid w:val="005B1B6B"/>
    <w:rsid w:val="005B343C"/>
    <w:rsid w:val="005B5194"/>
    <w:rsid w:val="005B5488"/>
    <w:rsid w:val="005B7E75"/>
    <w:rsid w:val="005C2858"/>
    <w:rsid w:val="005C2C49"/>
    <w:rsid w:val="005C37B1"/>
    <w:rsid w:val="005C4536"/>
    <w:rsid w:val="005C5F3C"/>
    <w:rsid w:val="005C6DDE"/>
    <w:rsid w:val="005D190B"/>
    <w:rsid w:val="005E19C0"/>
    <w:rsid w:val="005E2819"/>
    <w:rsid w:val="005E39FB"/>
    <w:rsid w:val="005E57B6"/>
    <w:rsid w:val="005E6FF9"/>
    <w:rsid w:val="005F22D6"/>
    <w:rsid w:val="006026B5"/>
    <w:rsid w:val="006043C4"/>
    <w:rsid w:val="0061351C"/>
    <w:rsid w:val="00613DF4"/>
    <w:rsid w:val="00615789"/>
    <w:rsid w:val="006172C0"/>
    <w:rsid w:val="006205D8"/>
    <w:rsid w:val="00620FB0"/>
    <w:rsid w:val="00623296"/>
    <w:rsid w:val="0062527A"/>
    <w:rsid w:val="00627A1B"/>
    <w:rsid w:val="0063117F"/>
    <w:rsid w:val="006329BF"/>
    <w:rsid w:val="006353D3"/>
    <w:rsid w:val="006356F8"/>
    <w:rsid w:val="006378D5"/>
    <w:rsid w:val="00640AEA"/>
    <w:rsid w:val="00641D9A"/>
    <w:rsid w:val="00643895"/>
    <w:rsid w:val="0064649E"/>
    <w:rsid w:val="00646957"/>
    <w:rsid w:val="00651BB4"/>
    <w:rsid w:val="00655F5E"/>
    <w:rsid w:val="00656271"/>
    <w:rsid w:val="00657064"/>
    <w:rsid w:val="006608CE"/>
    <w:rsid w:val="006620A9"/>
    <w:rsid w:val="0066256E"/>
    <w:rsid w:val="00662CC6"/>
    <w:rsid w:val="006639A0"/>
    <w:rsid w:val="00667B0E"/>
    <w:rsid w:val="00667C84"/>
    <w:rsid w:val="00671D11"/>
    <w:rsid w:val="00672F6D"/>
    <w:rsid w:val="006775ED"/>
    <w:rsid w:val="00681D5A"/>
    <w:rsid w:val="006830E6"/>
    <w:rsid w:val="00685DE5"/>
    <w:rsid w:val="006874AC"/>
    <w:rsid w:val="006915B2"/>
    <w:rsid w:val="00694F28"/>
    <w:rsid w:val="00697F0E"/>
    <w:rsid w:val="006A22AA"/>
    <w:rsid w:val="006A29DF"/>
    <w:rsid w:val="006A3ADE"/>
    <w:rsid w:val="006A5609"/>
    <w:rsid w:val="006A6DFD"/>
    <w:rsid w:val="006B0FF6"/>
    <w:rsid w:val="006B22A5"/>
    <w:rsid w:val="006B2A2C"/>
    <w:rsid w:val="006B5AAA"/>
    <w:rsid w:val="006B6C14"/>
    <w:rsid w:val="006B738D"/>
    <w:rsid w:val="006C5474"/>
    <w:rsid w:val="006C6F00"/>
    <w:rsid w:val="006C7A29"/>
    <w:rsid w:val="006D064B"/>
    <w:rsid w:val="006D2148"/>
    <w:rsid w:val="006D42D9"/>
    <w:rsid w:val="006D4307"/>
    <w:rsid w:val="006D5820"/>
    <w:rsid w:val="006D6EC8"/>
    <w:rsid w:val="006D733E"/>
    <w:rsid w:val="006D73D2"/>
    <w:rsid w:val="006E09DC"/>
    <w:rsid w:val="006E29EA"/>
    <w:rsid w:val="006E5CBE"/>
    <w:rsid w:val="006E7DFA"/>
    <w:rsid w:val="006F01CD"/>
    <w:rsid w:val="006F59E2"/>
    <w:rsid w:val="006F6DCA"/>
    <w:rsid w:val="00700527"/>
    <w:rsid w:val="00700895"/>
    <w:rsid w:val="00701581"/>
    <w:rsid w:val="00702B1E"/>
    <w:rsid w:val="007032DD"/>
    <w:rsid w:val="00705994"/>
    <w:rsid w:val="00707AFE"/>
    <w:rsid w:val="00710209"/>
    <w:rsid w:val="00711D1F"/>
    <w:rsid w:val="0071280C"/>
    <w:rsid w:val="00712AB4"/>
    <w:rsid w:val="00721797"/>
    <w:rsid w:val="00721E7A"/>
    <w:rsid w:val="00722920"/>
    <w:rsid w:val="00723744"/>
    <w:rsid w:val="00730038"/>
    <w:rsid w:val="00732FFB"/>
    <w:rsid w:val="00733535"/>
    <w:rsid w:val="007349F5"/>
    <w:rsid w:val="00735140"/>
    <w:rsid w:val="007361DB"/>
    <w:rsid w:val="00737A41"/>
    <w:rsid w:val="007437B6"/>
    <w:rsid w:val="0074540B"/>
    <w:rsid w:val="007454DB"/>
    <w:rsid w:val="0074645D"/>
    <w:rsid w:val="00746ADF"/>
    <w:rsid w:val="00746C9A"/>
    <w:rsid w:val="00751777"/>
    <w:rsid w:val="0075422E"/>
    <w:rsid w:val="007548F6"/>
    <w:rsid w:val="00757E67"/>
    <w:rsid w:val="007612A8"/>
    <w:rsid w:val="00761C8E"/>
    <w:rsid w:val="00762A50"/>
    <w:rsid w:val="00763136"/>
    <w:rsid w:val="007632B9"/>
    <w:rsid w:val="007633B2"/>
    <w:rsid w:val="007637D0"/>
    <w:rsid w:val="00764727"/>
    <w:rsid w:val="00764870"/>
    <w:rsid w:val="00764F14"/>
    <w:rsid w:val="007654BD"/>
    <w:rsid w:val="007660E9"/>
    <w:rsid w:val="007662C9"/>
    <w:rsid w:val="00766EAC"/>
    <w:rsid w:val="0077071F"/>
    <w:rsid w:val="00774EA4"/>
    <w:rsid w:val="00775CCA"/>
    <w:rsid w:val="007810C9"/>
    <w:rsid w:val="00786AA6"/>
    <w:rsid w:val="00786C5A"/>
    <w:rsid w:val="00787D73"/>
    <w:rsid w:val="00787F1D"/>
    <w:rsid w:val="00791838"/>
    <w:rsid w:val="00792335"/>
    <w:rsid w:val="00794633"/>
    <w:rsid w:val="00794886"/>
    <w:rsid w:val="00797014"/>
    <w:rsid w:val="00797CA3"/>
    <w:rsid w:val="007A0D22"/>
    <w:rsid w:val="007A1E54"/>
    <w:rsid w:val="007A27F7"/>
    <w:rsid w:val="007A2CBF"/>
    <w:rsid w:val="007A4F08"/>
    <w:rsid w:val="007A6C0B"/>
    <w:rsid w:val="007A7C00"/>
    <w:rsid w:val="007A7F99"/>
    <w:rsid w:val="007B119B"/>
    <w:rsid w:val="007B172C"/>
    <w:rsid w:val="007B30F7"/>
    <w:rsid w:val="007B38E3"/>
    <w:rsid w:val="007B50B4"/>
    <w:rsid w:val="007B770D"/>
    <w:rsid w:val="007C07BA"/>
    <w:rsid w:val="007C1D5B"/>
    <w:rsid w:val="007C1F61"/>
    <w:rsid w:val="007C27CD"/>
    <w:rsid w:val="007C3DA2"/>
    <w:rsid w:val="007C47E8"/>
    <w:rsid w:val="007C4DAB"/>
    <w:rsid w:val="007C4F84"/>
    <w:rsid w:val="007C7AFA"/>
    <w:rsid w:val="007C7D46"/>
    <w:rsid w:val="007D143A"/>
    <w:rsid w:val="007D4127"/>
    <w:rsid w:val="007D60E6"/>
    <w:rsid w:val="007E305F"/>
    <w:rsid w:val="007E7105"/>
    <w:rsid w:val="007E7812"/>
    <w:rsid w:val="007F2627"/>
    <w:rsid w:val="007F749F"/>
    <w:rsid w:val="008008E8"/>
    <w:rsid w:val="0080149E"/>
    <w:rsid w:val="00802DBE"/>
    <w:rsid w:val="00804260"/>
    <w:rsid w:val="008057AA"/>
    <w:rsid w:val="00805DB9"/>
    <w:rsid w:val="0080700C"/>
    <w:rsid w:val="0081592B"/>
    <w:rsid w:val="008166CC"/>
    <w:rsid w:val="008178A3"/>
    <w:rsid w:val="0082100A"/>
    <w:rsid w:val="00821A40"/>
    <w:rsid w:val="008249BF"/>
    <w:rsid w:val="0083024E"/>
    <w:rsid w:val="00831EF5"/>
    <w:rsid w:val="0083288F"/>
    <w:rsid w:val="0083511D"/>
    <w:rsid w:val="00835E19"/>
    <w:rsid w:val="00836680"/>
    <w:rsid w:val="00841654"/>
    <w:rsid w:val="00841687"/>
    <w:rsid w:val="0084342A"/>
    <w:rsid w:val="00844DBB"/>
    <w:rsid w:val="00846A6E"/>
    <w:rsid w:val="00850FC3"/>
    <w:rsid w:val="00852F2B"/>
    <w:rsid w:val="00853C28"/>
    <w:rsid w:val="008540E0"/>
    <w:rsid w:val="00856864"/>
    <w:rsid w:val="00856CF3"/>
    <w:rsid w:val="00857002"/>
    <w:rsid w:val="008571B3"/>
    <w:rsid w:val="0086271F"/>
    <w:rsid w:val="00865BE0"/>
    <w:rsid w:val="00870C37"/>
    <w:rsid w:val="0087177A"/>
    <w:rsid w:val="00872F82"/>
    <w:rsid w:val="008737FC"/>
    <w:rsid w:val="00873AED"/>
    <w:rsid w:val="00875323"/>
    <w:rsid w:val="00875C99"/>
    <w:rsid w:val="008774CB"/>
    <w:rsid w:val="008779C0"/>
    <w:rsid w:val="008822EC"/>
    <w:rsid w:val="00882867"/>
    <w:rsid w:val="00882928"/>
    <w:rsid w:val="008830FD"/>
    <w:rsid w:val="008833DA"/>
    <w:rsid w:val="0088717B"/>
    <w:rsid w:val="0088730C"/>
    <w:rsid w:val="008878DA"/>
    <w:rsid w:val="00890CA3"/>
    <w:rsid w:val="008917B3"/>
    <w:rsid w:val="00895150"/>
    <w:rsid w:val="00896D8C"/>
    <w:rsid w:val="008974F3"/>
    <w:rsid w:val="008A7A46"/>
    <w:rsid w:val="008A7D61"/>
    <w:rsid w:val="008B075F"/>
    <w:rsid w:val="008B2B3D"/>
    <w:rsid w:val="008B3145"/>
    <w:rsid w:val="008B4D79"/>
    <w:rsid w:val="008B4E06"/>
    <w:rsid w:val="008B4EC7"/>
    <w:rsid w:val="008B5E55"/>
    <w:rsid w:val="008C0526"/>
    <w:rsid w:val="008C27E4"/>
    <w:rsid w:val="008C4968"/>
    <w:rsid w:val="008C4D85"/>
    <w:rsid w:val="008C7A90"/>
    <w:rsid w:val="008D20CD"/>
    <w:rsid w:val="008D3B2A"/>
    <w:rsid w:val="008D6B49"/>
    <w:rsid w:val="008E2F06"/>
    <w:rsid w:val="008E3827"/>
    <w:rsid w:val="008E407A"/>
    <w:rsid w:val="008E77B6"/>
    <w:rsid w:val="008F1051"/>
    <w:rsid w:val="008F28BB"/>
    <w:rsid w:val="008F31A5"/>
    <w:rsid w:val="008F32CF"/>
    <w:rsid w:val="008F4D62"/>
    <w:rsid w:val="00902345"/>
    <w:rsid w:val="0090485B"/>
    <w:rsid w:val="00904882"/>
    <w:rsid w:val="00907B49"/>
    <w:rsid w:val="00910302"/>
    <w:rsid w:val="00911BA1"/>
    <w:rsid w:val="00922844"/>
    <w:rsid w:val="00925258"/>
    <w:rsid w:val="00932207"/>
    <w:rsid w:val="00932945"/>
    <w:rsid w:val="00935E14"/>
    <w:rsid w:val="00937648"/>
    <w:rsid w:val="00940FFA"/>
    <w:rsid w:val="009410F1"/>
    <w:rsid w:val="0094223A"/>
    <w:rsid w:val="0094352B"/>
    <w:rsid w:val="00943551"/>
    <w:rsid w:val="0094730D"/>
    <w:rsid w:val="009523AA"/>
    <w:rsid w:val="00952C1B"/>
    <w:rsid w:val="009563E9"/>
    <w:rsid w:val="00961467"/>
    <w:rsid w:val="00961FDF"/>
    <w:rsid w:val="00963E1C"/>
    <w:rsid w:val="0096667E"/>
    <w:rsid w:val="00966E0B"/>
    <w:rsid w:val="00973664"/>
    <w:rsid w:val="00973801"/>
    <w:rsid w:val="00973A9E"/>
    <w:rsid w:val="00974127"/>
    <w:rsid w:val="0097465A"/>
    <w:rsid w:val="009753F4"/>
    <w:rsid w:val="00975BD8"/>
    <w:rsid w:val="0097682F"/>
    <w:rsid w:val="009770C1"/>
    <w:rsid w:val="00980093"/>
    <w:rsid w:val="0098150F"/>
    <w:rsid w:val="009822B0"/>
    <w:rsid w:val="00983D99"/>
    <w:rsid w:val="0098557C"/>
    <w:rsid w:val="00987AC3"/>
    <w:rsid w:val="00994029"/>
    <w:rsid w:val="00996F51"/>
    <w:rsid w:val="00997EC1"/>
    <w:rsid w:val="009A0976"/>
    <w:rsid w:val="009A179B"/>
    <w:rsid w:val="009A31A0"/>
    <w:rsid w:val="009A4923"/>
    <w:rsid w:val="009A510A"/>
    <w:rsid w:val="009A57FD"/>
    <w:rsid w:val="009A70B0"/>
    <w:rsid w:val="009A7CE8"/>
    <w:rsid w:val="009B2CA2"/>
    <w:rsid w:val="009B313C"/>
    <w:rsid w:val="009B4E17"/>
    <w:rsid w:val="009B6127"/>
    <w:rsid w:val="009C0824"/>
    <w:rsid w:val="009C09DD"/>
    <w:rsid w:val="009C475A"/>
    <w:rsid w:val="009C4FDD"/>
    <w:rsid w:val="009C6D51"/>
    <w:rsid w:val="009D3196"/>
    <w:rsid w:val="009D3D8D"/>
    <w:rsid w:val="009D5380"/>
    <w:rsid w:val="009D7076"/>
    <w:rsid w:val="009E0105"/>
    <w:rsid w:val="009E283F"/>
    <w:rsid w:val="009E3248"/>
    <w:rsid w:val="009E4A64"/>
    <w:rsid w:val="009E576B"/>
    <w:rsid w:val="009E7204"/>
    <w:rsid w:val="009F0691"/>
    <w:rsid w:val="009F12EE"/>
    <w:rsid w:val="009F2D83"/>
    <w:rsid w:val="009F37E3"/>
    <w:rsid w:val="009F4D93"/>
    <w:rsid w:val="009F59B2"/>
    <w:rsid w:val="009F6777"/>
    <w:rsid w:val="009F7124"/>
    <w:rsid w:val="00A00735"/>
    <w:rsid w:val="00A0367D"/>
    <w:rsid w:val="00A04771"/>
    <w:rsid w:val="00A04F69"/>
    <w:rsid w:val="00A0542D"/>
    <w:rsid w:val="00A0615C"/>
    <w:rsid w:val="00A062DC"/>
    <w:rsid w:val="00A06C34"/>
    <w:rsid w:val="00A07D31"/>
    <w:rsid w:val="00A11708"/>
    <w:rsid w:val="00A14205"/>
    <w:rsid w:val="00A14E77"/>
    <w:rsid w:val="00A15DEF"/>
    <w:rsid w:val="00A178F3"/>
    <w:rsid w:val="00A21924"/>
    <w:rsid w:val="00A23B1F"/>
    <w:rsid w:val="00A30813"/>
    <w:rsid w:val="00A31021"/>
    <w:rsid w:val="00A3457C"/>
    <w:rsid w:val="00A35B4E"/>
    <w:rsid w:val="00A35EB8"/>
    <w:rsid w:val="00A36D13"/>
    <w:rsid w:val="00A375DC"/>
    <w:rsid w:val="00A379F5"/>
    <w:rsid w:val="00A402F2"/>
    <w:rsid w:val="00A42455"/>
    <w:rsid w:val="00A43700"/>
    <w:rsid w:val="00A43D83"/>
    <w:rsid w:val="00A44C11"/>
    <w:rsid w:val="00A455C3"/>
    <w:rsid w:val="00A463F8"/>
    <w:rsid w:val="00A516ED"/>
    <w:rsid w:val="00A53491"/>
    <w:rsid w:val="00A53A29"/>
    <w:rsid w:val="00A561E0"/>
    <w:rsid w:val="00A5788E"/>
    <w:rsid w:val="00A634A5"/>
    <w:rsid w:val="00A6372A"/>
    <w:rsid w:val="00A63795"/>
    <w:rsid w:val="00A64413"/>
    <w:rsid w:val="00A64DE2"/>
    <w:rsid w:val="00A65324"/>
    <w:rsid w:val="00A66659"/>
    <w:rsid w:val="00A6677D"/>
    <w:rsid w:val="00A66E23"/>
    <w:rsid w:val="00A66F2D"/>
    <w:rsid w:val="00A80F0B"/>
    <w:rsid w:val="00A82951"/>
    <w:rsid w:val="00A8507B"/>
    <w:rsid w:val="00A878FF"/>
    <w:rsid w:val="00A90301"/>
    <w:rsid w:val="00A91391"/>
    <w:rsid w:val="00A92432"/>
    <w:rsid w:val="00A956C4"/>
    <w:rsid w:val="00A96FFD"/>
    <w:rsid w:val="00A979FF"/>
    <w:rsid w:val="00AA0D94"/>
    <w:rsid w:val="00AA12E2"/>
    <w:rsid w:val="00AA1A8A"/>
    <w:rsid w:val="00AA1B9A"/>
    <w:rsid w:val="00AA3C9B"/>
    <w:rsid w:val="00AA4566"/>
    <w:rsid w:val="00AA5518"/>
    <w:rsid w:val="00AA63CC"/>
    <w:rsid w:val="00AB108E"/>
    <w:rsid w:val="00AB2BC9"/>
    <w:rsid w:val="00AB3408"/>
    <w:rsid w:val="00AB3A81"/>
    <w:rsid w:val="00AB4F74"/>
    <w:rsid w:val="00AB530C"/>
    <w:rsid w:val="00AB63A3"/>
    <w:rsid w:val="00AC1048"/>
    <w:rsid w:val="00AC74AE"/>
    <w:rsid w:val="00AD0D7A"/>
    <w:rsid w:val="00AD2451"/>
    <w:rsid w:val="00AD2C72"/>
    <w:rsid w:val="00AD3901"/>
    <w:rsid w:val="00AD3C2E"/>
    <w:rsid w:val="00AD6688"/>
    <w:rsid w:val="00AD73AA"/>
    <w:rsid w:val="00AE0CFF"/>
    <w:rsid w:val="00AE0D15"/>
    <w:rsid w:val="00AE111B"/>
    <w:rsid w:val="00AE280E"/>
    <w:rsid w:val="00AE37B7"/>
    <w:rsid w:val="00AE5D8E"/>
    <w:rsid w:val="00AE7892"/>
    <w:rsid w:val="00AF1B00"/>
    <w:rsid w:val="00AF3CA6"/>
    <w:rsid w:val="00AF4192"/>
    <w:rsid w:val="00AF4487"/>
    <w:rsid w:val="00AF66AE"/>
    <w:rsid w:val="00B0149B"/>
    <w:rsid w:val="00B02F37"/>
    <w:rsid w:val="00B03373"/>
    <w:rsid w:val="00B033CF"/>
    <w:rsid w:val="00B0488B"/>
    <w:rsid w:val="00B05FA1"/>
    <w:rsid w:val="00B10D95"/>
    <w:rsid w:val="00B110A6"/>
    <w:rsid w:val="00B123DC"/>
    <w:rsid w:val="00B13570"/>
    <w:rsid w:val="00B15304"/>
    <w:rsid w:val="00B154C9"/>
    <w:rsid w:val="00B17F1C"/>
    <w:rsid w:val="00B204C8"/>
    <w:rsid w:val="00B21F94"/>
    <w:rsid w:val="00B22167"/>
    <w:rsid w:val="00B22EE0"/>
    <w:rsid w:val="00B30DD8"/>
    <w:rsid w:val="00B31E03"/>
    <w:rsid w:val="00B32050"/>
    <w:rsid w:val="00B328FF"/>
    <w:rsid w:val="00B34C27"/>
    <w:rsid w:val="00B360D4"/>
    <w:rsid w:val="00B37AE2"/>
    <w:rsid w:val="00B37B4E"/>
    <w:rsid w:val="00B41B1B"/>
    <w:rsid w:val="00B44C55"/>
    <w:rsid w:val="00B469D9"/>
    <w:rsid w:val="00B50CF2"/>
    <w:rsid w:val="00B51347"/>
    <w:rsid w:val="00B51D31"/>
    <w:rsid w:val="00B53155"/>
    <w:rsid w:val="00B53E3C"/>
    <w:rsid w:val="00B5552B"/>
    <w:rsid w:val="00B63693"/>
    <w:rsid w:val="00B65DA2"/>
    <w:rsid w:val="00B66D5B"/>
    <w:rsid w:val="00B671E5"/>
    <w:rsid w:val="00B677FF"/>
    <w:rsid w:val="00B71736"/>
    <w:rsid w:val="00B7293B"/>
    <w:rsid w:val="00B738ED"/>
    <w:rsid w:val="00B73BF2"/>
    <w:rsid w:val="00B73C24"/>
    <w:rsid w:val="00B74A88"/>
    <w:rsid w:val="00B7578A"/>
    <w:rsid w:val="00B81137"/>
    <w:rsid w:val="00B81D6F"/>
    <w:rsid w:val="00B82317"/>
    <w:rsid w:val="00B8377B"/>
    <w:rsid w:val="00B841CE"/>
    <w:rsid w:val="00B86811"/>
    <w:rsid w:val="00B87840"/>
    <w:rsid w:val="00B90AA0"/>
    <w:rsid w:val="00B95A83"/>
    <w:rsid w:val="00B9657E"/>
    <w:rsid w:val="00BA27F9"/>
    <w:rsid w:val="00BA32F0"/>
    <w:rsid w:val="00BA3CC6"/>
    <w:rsid w:val="00BA455B"/>
    <w:rsid w:val="00BA5090"/>
    <w:rsid w:val="00BA67DC"/>
    <w:rsid w:val="00BA7FCB"/>
    <w:rsid w:val="00BB2DE6"/>
    <w:rsid w:val="00BB5980"/>
    <w:rsid w:val="00BB608D"/>
    <w:rsid w:val="00BC0261"/>
    <w:rsid w:val="00BC0CA9"/>
    <w:rsid w:val="00BC19BB"/>
    <w:rsid w:val="00BC292E"/>
    <w:rsid w:val="00BC6C95"/>
    <w:rsid w:val="00BC7345"/>
    <w:rsid w:val="00BD253D"/>
    <w:rsid w:val="00BD25B6"/>
    <w:rsid w:val="00BD3047"/>
    <w:rsid w:val="00BD4188"/>
    <w:rsid w:val="00BD45C9"/>
    <w:rsid w:val="00BD4FDF"/>
    <w:rsid w:val="00BD69F8"/>
    <w:rsid w:val="00BE1305"/>
    <w:rsid w:val="00BE17A4"/>
    <w:rsid w:val="00BE1C52"/>
    <w:rsid w:val="00BF2E33"/>
    <w:rsid w:val="00C01CA7"/>
    <w:rsid w:val="00C02E67"/>
    <w:rsid w:val="00C0353C"/>
    <w:rsid w:val="00C040C4"/>
    <w:rsid w:val="00C04D0F"/>
    <w:rsid w:val="00C06268"/>
    <w:rsid w:val="00C06A57"/>
    <w:rsid w:val="00C11AF2"/>
    <w:rsid w:val="00C12983"/>
    <w:rsid w:val="00C13CF1"/>
    <w:rsid w:val="00C1411B"/>
    <w:rsid w:val="00C24791"/>
    <w:rsid w:val="00C2533E"/>
    <w:rsid w:val="00C25703"/>
    <w:rsid w:val="00C26843"/>
    <w:rsid w:val="00C30AA6"/>
    <w:rsid w:val="00C31265"/>
    <w:rsid w:val="00C3236D"/>
    <w:rsid w:val="00C412C1"/>
    <w:rsid w:val="00C41D35"/>
    <w:rsid w:val="00C43AB3"/>
    <w:rsid w:val="00C47351"/>
    <w:rsid w:val="00C51399"/>
    <w:rsid w:val="00C521BD"/>
    <w:rsid w:val="00C527F9"/>
    <w:rsid w:val="00C52CA2"/>
    <w:rsid w:val="00C54D3D"/>
    <w:rsid w:val="00C55E35"/>
    <w:rsid w:val="00C57510"/>
    <w:rsid w:val="00C57848"/>
    <w:rsid w:val="00C663BC"/>
    <w:rsid w:val="00C66E4E"/>
    <w:rsid w:val="00C67E85"/>
    <w:rsid w:val="00C70587"/>
    <w:rsid w:val="00C71845"/>
    <w:rsid w:val="00C71FB3"/>
    <w:rsid w:val="00C733E4"/>
    <w:rsid w:val="00C74EFE"/>
    <w:rsid w:val="00C75411"/>
    <w:rsid w:val="00C8154C"/>
    <w:rsid w:val="00C8160E"/>
    <w:rsid w:val="00C90B27"/>
    <w:rsid w:val="00C90B6F"/>
    <w:rsid w:val="00C91E9E"/>
    <w:rsid w:val="00C93786"/>
    <w:rsid w:val="00C95260"/>
    <w:rsid w:val="00C95513"/>
    <w:rsid w:val="00C964E8"/>
    <w:rsid w:val="00CA15AC"/>
    <w:rsid w:val="00CA3481"/>
    <w:rsid w:val="00CA6724"/>
    <w:rsid w:val="00CA693D"/>
    <w:rsid w:val="00CA7AD7"/>
    <w:rsid w:val="00CA7F5F"/>
    <w:rsid w:val="00CB089A"/>
    <w:rsid w:val="00CB21E0"/>
    <w:rsid w:val="00CB363B"/>
    <w:rsid w:val="00CB3998"/>
    <w:rsid w:val="00CB5387"/>
    <w:rsid w:val="00CB656B"/>
    <w:rsid w:val="00CB7275"/>
    <w:rsid w:val="00CC0209"/>
    <w:rsid w:val="00CC214C"/>
    <w:rsid w:val="00CC5CE5"/>
    <w:rsid w:val="00CC5D73"/>
    <w:rsid w:val="00CC6935"/>
    <w:rsid w:val="00CC6E6C"/>
    <w:rsid w:val="00CD1883"/>
    <w:rsid w:val="00CD3FB2"/>
    <w:rsid w:val="00CD444F"/>
    <w:rsid w:val="00CD6978"/>
    <w:rsid w:val="00CE1BC7"/>
    <w:rsid w:val="00CE1D06"/>
    <w:rsid w:val="00CE5289"/>
    <w:rsid w:val="00CE7CFA"/>
    <w:rsid w:val="00CF005A"/>
    <w:rsid w:val="00CF1023"/>
    <w:rsid w:val="00CF3261"/>
    <w:rsid w:val="00CF6340"/>
    <w:rsid w:val="00D0152D"/>
    <w:rsid w:val="00D019DC"/>
    <w:rsid w:val="00D0213F"/>
    <w:rsid w:val="00D06306"/>
    <w:rsid w:val="00D06E59"/>
    <w:rsid w:val="00D07833"/>
    <w:rsid w:val="00D07A48"/>
    <w:rsid w:val="00D1005D"/>
    <w:rsid w:val="00D105ED"/>
    <w:rsid w:val="00D106EE"/>
    <w:rsid w:val="00D11E42"/>
    <w:rsid w:val="00D13105"/>
    <w:rsid w:val="00D13BDD"/>
    <w:rsid w:val="00D1531B"/>
    <w:rsid w:val="00D159A4"/>
    <w:rsid w:val="00D161D8"/>
    <w:rsid w:val="00D243F7"/>
    <w:rsid w:val="00D25C92"/>
    <w:rsid w:val="00D25EDE"/>
    <w:rsid w:val="00D26F5E"/>
    <w:rsid w:val="00D27A5F"/>
    <w:rsid w:val="00D30305"/>
    <w:rsid w:val="00D31BAF"/>
    <w:rsid w:val="00D32714"/>
    <w:rsid w:val="00D33BDC"/>
    <w:rsid w:val="00D3503C"/>
    <w:rsid w:val="00D40C54"/>
    <w:rsid w:val="00D433D9"/>
    <w:rsid w:val="00D436D8"/>
    <w:rsid w:val="00D43B51"/>
    <w:rsid w:val="00D458D6"/>
    <w:rsid w:val="00D47909"/>
    <w:rsid w:val="00D47984"/>
    <w:rsid w:val="00D513D4"/>
    <w:rsid w:val="00D5556F"/>
    <w:rsid w:val="00D5577F"/>
    <w:rsid w:val="00D562DA"/>
    <w:rsid w:val="00D57361"/>
    <w:rsid w:val="00D579AE"/>
    <w:rsid w:val="00D60F7D"/>
    <w:rsid w:val="00D61720"/>
    <w:rsid w:val="00D67791"/>
    <w:rsid w:val="00D722B0"/>
    <w:rsid w:val="00D76EED"/>
    <w:rsid w:val="00D779E8"/>
    <w:rsid w:val="00D804F8"/>
    <w:rsid w:val="00D80ECF"/>
    <w:rsid w:val="00D81031"/>
    <w:rsid w:val="00D816B1"/>
    <w:rsid w:val="00D87241"/>
    <w:rsid w:val="00D87882"/>
    <w:rsid w:val="00D87D96"/>
    <w:rsid w:val="00D934DA"/>
    <w:rsid w:val="00D93565"/>
    <w:rsid w:val="00DA04EF"/>
    <w:rsid w:val="00DA061C"/>
    <w:rsid w:val="00DA0F7B"/>
    <w:rsid w:val="00DA2689"/>
    <w:rsid w:val="00DA4B32"/>
    <w:rsid w:val="00DA62D4"/>
    <w:rsid w:val="00DB2E3C"/>
    <w:rsid w:val="00DB58B3"/>
    <w:rsid w:val="00DB63EB"/>
    <w:rsid w:val="00DB7049"/>
    <w:rsid w:val="00DC60F7"/>
    <w:rsid w:val="00DC6530"/>
    <w:rsid w:val="00DC75F0"/>
    <w:rsid w:val="00DD3D93"/>
    <w:rsid w:val="00DD5527"/>
    <w:rsid w:val="00DE0650"/>
    <w:rsid w:val="00DE2FA5"/>
    <w:rsid w:val="00DE4640"/>
    <w:rsid w:val="00DE5560"/>
    <w:rsid w:val="00DE6A4F"/>
    <w:rsid w:val="00DE7DAE"/>
    <w:rsid w:val="00DF032D"/>
    <w:rsid w:val="00DF0C09"/>
    <w:rsid w:val="00DF35F3"/>
    <w:rsid w:val="00DF3666"/>
    <w:rsid w:val="00DF51AF"/>
    <w:rsid w:val="00DF5F06"/>
    <w:rsid w:val="00DF738C"/>
    <w:rsid w:val="00DF78B8"/>
    <w:rsid w:val="00E0092B"/>
    <w:rsid w:val="00E01307"/>
    <w:rsid w:val="00E01DF0"/>
    <w:rsid w:val="00E01E59"/>
    <w:rsid w:val="00E035C3"/>
    <w:rsid w:val="00E06384"/>
    <w:rsid w:val="00E064F2"/>
    <w:rsid w:val="00E06E7C"/>
    <w:rsid w:val="00E12AF9"/>
    <w:rsid w:val="00E13E37"/>
    <w:rsid w:val="00E1406B"/>
    <w:rsid w:val="00E150B2"/>
    <w:rsid w:val="00E21745"/>
    <w:rsid w:val="00E23C35"/>
    <w:rsid w:val="00E24A91"/>
    <w:rsid w:val="00E25021"/>
    <w:rsid w:val="00E279F5"/>
    <w:rsid w:val="00E27AF1"/>
    <w:rsid w:val="00E30ED6"/>
    <w:rsid w:val="00E32C86"/>
    <w:rsid w:val="00E34D41"/>
    <w:rsid w:val="00E350B7"/>
    <w:rsid w:val="00E379B1"/>
    <w:rsid w:val="00E37A7B"/>
    <w:rsid w:val="00E401F7"/>
    <w:rsid w:val="00E414B8"/>
    <w:rsid w:val="00E44CEC"/>
    <w:rsid w:val="00E45067"/>
    <w:rsid w:val="00E45126"/>
    <w:rsid w:val="00E46026"/>
    <w:rsid w:val="00E5100D"/>
    <w:rsid w:val="00E51DA2"/>
    <w:rsid w:val="00E526FC"/>
    <w:rsid w:val="00E55336"/>
    <w:rsid w:val="00E567FE"/>
    <w:rsid w:val="00E61180"/>
    <w:rsid w:val="00E635DD"/>
    <w:rsid w:val="00E63A13"/>
    <w:rsid w:val="00E649A6"/>
    <w:rsid w:val="00E64CE6"/>
    <w:rsid w:val="00E66A69"/>
    <w:rsid w:val="00E66FD1"/>
    <w:rsid w:val="00E71AD6"/>
    <w:rsid w:val="00E72D94"/>
    <w:rsid w:val="00E73757"/>
    <w:rsid w:val="00E75AE9"/>
    <w:rsid w:val="00E77CC3"/>
    <w:rsid w:val="00E81255"/>
    <w:rsid w:val="00E82103"/>
    <w:rsid w:val="00E84336"/>
    <w:rsid w:val="00E84600"/>
    <w:rsid w:val="00E902A9"/>
    <w:rsid w:val="00E9178D"/>
    <w:rsid w:val="00E93D08"/>
    <w:rsid w:val="00EA1A95"/>
    <w:rsid w:val="00EA1AF2"/>
    <w:rsid w:val="00EA470D"/>
    <w:rsid w:val="00EA4B33"/>
    <w:rsid w:val="00EA500C"/>
    <w:rsid w:val="00EA65DF"/>
    <w:rsid w:val="00EA76F8"/>
    <w:rsid w:val="00EA78FC"/>
    <w:rsid w:val="00EB3A9D"/>
    <w:rsid w:val="00EB7098"/>
    <w:rsid w:val="00EB7930"/>
    <w:rsid w:val="00EB7CA1"/>
    <w:rsid w:val="00EC2ED8"/>
    <w:rsid w:val="00EC353A"/>
    <w:rsid w:val="00EC3561"/>
    <w:rsid w:val="00EC45A7"/>
    <w:rsid w:val="00EC4C90"/>
    <w:rsid w:val="00EC5FB3"/>
    <w:rsid w:val="00ED0C52"/>
    <w:rsid w:val="00ED4A91"/>
    <w:rsid w:val="00EE4B44"/>
    <w:rsid w:val="00EE61FC"/>
    <w:rsid w:val="00EE6EF2"/>
    <w:rsid w:val="00EF245E"/>
    <w:rsid w:val="00EF328B"/>
    <w:rsid w:val="00EF3A11"/>
    <w:rsid w:val="00EF3F15"/>
    <w:rsid w:val="00EF40A9"/>
    <w:rsid w:val="00EF456D"/>
    <w:rsid w:val="00EF5450"/>
    <w:rsid w:val="00EF5926"/>
    <w:rsid w:val="00EF7AE3"/>
    <w:rsid w:val="00F0191E"/>
    <w:rsid w:val="00F01E64"/>
    <w:rsid w:val="00F039E4"/>
    <w:rsid w:val="00F03ABB"/>
    <w:rsid w:val="00F04A4B"/>
    <w:rsid w:val="00F0699B"/>
    <w:rsid w:val="00F12360"/>
    <w:rsid w:val="00F146BC"/>
    <w:rsid w:val="00F14BE9"/>
    <w:rsid w:val="00F1511F"/>
    <w:rsid w:val="00F151F2"/>
    <w:rsid w:val="00F1621D"/>
    <w:rsid w:val="00F205EA"/>
    <w:rsid w:val="00F20AD2"/>
    <w:rsid w:val="00F22DAA"/>
    <w:rsid w:val="00F26769"/>
    <w:rsid w:val="00F305FA"/>
    <w:rsid w:val="00F30BE1"/>
    <w:rsid w:val="00F323EF"/>
    <w:rsid w:val="00F34052"/>
    <w:rsid w:val="00F34556"/>
    <w:rsid w:val="00F35ADC"/>
    <w:rsid w:val="00F372D9"/>
    <w:rsid w:val="00F410B6"/>
    <w:rsid w:val="00F43062"/>
    <w:rsid w:val="00F43E5F"/>
    <w:rsid w:val="00F45CE4"/>
    <w:rsid w:val="00F47C57"/>
    <w:rsid w:val="00F50C4A"/>
    <w:rsid w:val="00F53349"/>
    <w:rsid w:val="00F534A6"/>
    <w:rsid w:val="00F54DD1"/>
    <w:rsid w:val="00F56967"/>
    <w:rsid w:val="00F61548"/>
    <w:rsid w:val="00F648DD"/>
    <w:rsid w:val="00F649B2"/>
    <w:rsid w:val="00F66885"/>
    <w:rsid w:val="00F676D8"/>
    <w:rsid w:val="00F67B21"/>
    <w:rsid w:val="00F71279"/>
    <w:rsid w:val="00F71F9F"/>
    <w:rsid w:val="00F7301E"/>
    <w:rsid w:val="00F74625"/>
    <w:rsid w:val="00F77161"/>
    <w:rsid w:val="00F820D1"/>
    <w:rsid w:val="00F82AD1"/>
    <w:rsid w:val="00F836B9"/>
    <w:rsid w:val="00F84DF6"/>
    <w:rsid w:val="00F85AAC"/>
    <w:rsid w:val="00F85AD2"/>
    <w:rsid w:val="00F86122"/>
    <w:rsid w:val="00F8644B"/>
    <w:rsid w:val="00F874E8"/>
    <w:rsid w:val="00F87886"/>
    <w:rsid w:val="00F87B25"/>
    <w:rsid w:val="00F87BAD"/>
    <w:rsid w:val="00F91B16"/>
    <w:rsid w:val="00F91D7F"/>
    <w:rsid w:val="00F95FFA"/>
    <w:rsid w:val="00F96375"/>
    <w:rsid w:val="00FA2DBA"/>
    <w:rsid w:val="00FA345A"/>
    <w:rsid w:val="00FA75E4"/>
    <w:rsid w:val="00FB1045"/>
    <w:rsid w:val="00FB723A"/>
    <w:rsid w:val="00FB7AD1"/>
    <w:rsid w:val="00FC11C0"/>
    <w:rsid w:val="00FC26F8"/>
    <w:rsid w:val="00FC4CEC"/>
    <w:rsid w:val="00FC6109"/>
    <w:rsid w:val="00FC6E7E"/>
    <w:rsid w:val="00FC6EC8"/>
    <w:rsid w:val="00FC74F7"/>
    <w:rsid w:val="00FC7E90"/>
    <w:rsid w:val="00FD30A4"/>
    <w:rsid w:val="00FD3A05"/>
    <w:rsid w:val="00FD5829"/>
    <w:rsid w:val="00FE20CC"/>
    <w:rsid w:val="00FE40A3"/>
    <w:rsid w:val="00FE7704"/>
    <w:rsid w:val="00FF1642"/>
    <w:rsid w:val="00FF41FB"/>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72D0CC-BE58-4E90-B7C4-501092A0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3C4"/>
  </w:style>
  <w:style w:type="paragraph" w:styleId="Heading1">
    <w:name w:val="heading 1"/>
    <w:basedOn w:val="Normal"/>
    <w:next w:val="Normal"/>
    <w:qFormat/>
    <w:rsid w:val="002F1976"/>
    <w:pPr>
      <w:keepNext/>
      <w:spacing w:line="480" w:lineRule="auto"/>
      <w:jc w:val="center"/>
      <w:outlineLvl w:val="0"/>
    </w:pPr>
    <w:rPr>
      <w:rFonts w:cs="Times New Roman"/>
      <w:b/>
      <w:bCs/>
    </w:rPr>
  </w:style>
  <w:style w:type="paragraph" w:styleId="Heading2">
    <w:name w:val="heading 2"/>
    <w:basedOn w:val="Normal"/>
    <w:next w:val="Normal"/>
    <w:qFormat/>
    <w:rsid w:val="00C74EFE"/>
    <w:pPr>
      <w:keepNext/>
      <w:spacing w:line="480" w:lineRule="auto"/>
      <w:outlineLvl w:val="1"/>
    </w:pPr>
    <w:rPr>
      <w:rFonts w:cs="Times New Roman"/>
      <w:b/>
    </w:rPr>
  </w:style>
  <w:style w:type="paragraph" w:styleId="Heading3">
    <w:name w:val="heading 3"/>
    <w:basedOn w:val="Normal"/>
    <w:next w:val="Normal"/>
    <w:qFormat/>
    <w:rsid w:val="00446E41"/>
    <w:pPr>
      <w:keepNext/>
      <w:spacing w:before="240" w:after="60"/>
      <w:outlineLvl w:val="2"/>
    </w:pPr>
    <w:rPr>
      <w:rFonts w:ascii="Times New Roman Bold" w:hAnsi="Times New Roman Bold"/>
      <w:b/>
      <w:bCs/>
      <w:szCs w:val="28"/>
    </w:rPr>
  </w:style>
  <w:style w:type="paragraph" w:styleId="Heading4">
    <w:name w:val="heading 4"/>
    <w:basedOn w:val="Normal"/>
    <w:next w:val="Normal"/>
    <w:qFormat/>
    <w:rsid w:val="006043C4"/>
    <w:pPr>
      <w:keepNext/>
      <w:outlineLvl w:val="3"/>
    </w:pPr>
    <w:rPr>
      <w:b/>
      <w:bCs/>
    </w:rPr>
  </w:style>
  <w:style w:type="paragraph" w:styleId="Heading5">
    <w:name w:val="heading 5"/>
    <w:basedOn w:val="Normal"/>
    <w:next w:val="Normal"/>
    <w:qFormat/>
    <w:rsid w:val="006043C4"/>
    <w:pPr>
      <w:keepNext/>
      <w:outlineLvl w:val="4"/>
    </w:pPr>
    <w:rPr>
      <w:b/>
      <w:bCs/>
      <w:u w:val="single"/>
    </w:rPr>
  </w:style>
  <w:style w:type="paragraph" w:styleId="Heading6">
    <w:name w:val="heading 6"/>
    <w:basedOn w:val="Normal"/>
    <w:next w:val="Normal"/>
    <w:qFormat/>
    <w:rsid w:val="006043C4"/>
    <w:pPr>
      <w:keepNext/>
      <w:keepLines/>
      <w:spacing w:before="60" w:after="60" w:line="480" w:lineRule="auto"/>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6043C4"/>
    <w:rPr>
      <w:rFonts w:ascii="Cambria" w:eastAsia="Times New Roman" w:hAnsi="Cambria" w:cs="Times New Roman"/>
      <w:b/>
      <w:bCs/>
      <w:kern w:val="32"/>
      <w:sz w:val="32"/>
      <w:szCs w:val="32"/>
    </w:rPr>
  </w:style>
  <w:style w:type="character" w:customStyle="1" w:styleId="Heading2Char">
    <w:name w:val="Heading 2 Char"/>
    <w:semiHidden/>
    <w:rsid w:val="006043C4"/>
    <w:rPr>
      <w:rFonts w:ascii="Cambria" w:eastAsia="Times New Roman" w:hAnsi="Cambria" w:cs="Times New Roman"/>
      <w:b/>
      <w:bCs/>
      <w:i/>
      <w:iCs/>
      <w:sz w:val="28"/>
      <w:szCs w:val="28"/>
    </w:rPr>
  </w:style>
  <w:style w:type="character" w:customStyle="1" w:styleId="Heading3Char">
    <w:name w:val="Heading 3 Char"/>
    <w:semiHidden/>
    <w:rsid w:val="006043C4"/>
    <w:rPr>
      <w:rFonts w:ascii="Cambria" w:eastAsia="Times New Roman" w:hAnsi="Cambria" w:cs="Times New Roman"/>
      <w:b/>
      <w:bCs/>
      <w:sz w:val="26"/>
      <w:szCs w:val="26"/>
    </w:rPr>
  </w:style>
  <w:style w:type="character" w:customStyle="1" w:styleId="Heading4Char">
    <w:name w:val="Heading 4 Char"/>
    <w:semiHidden/>
    <w:rsid w:val="006043C4"/>
    <w:rPr>
      <w:b/>
      <w:bCs/>
      <w:sz w:val="28"/>
      <w:szCs w:val="28"/>
    </w:rPr>
  </w:style>
  <w:style w:type="character" w:customStyle="1" w:styleId="Heading5Char">
    <w:name w:val="Heading 5 Char"/>
    <w:semiHidden/>
    <w:rsid w:val="006043C4"/>
    <w:rPr>
      <w:b/>
      <w:bCs/>
      <w:i/>
      <w:iCs/>
      <w:sz w:val="26"/>
      <w:szCs w:val="26"/>
    </w:rPr>
  </w:style>
  <w:style w:type="character" w:styleId="FollowedHyperlink">
    <w:name w:val="FollowedHyperlink"/>
    <w:semiHidden/>
    <w:rsid w:val="006043C4"/>
    <w:rPr>
      <w:rFonts w:ascii="Arial" w:hAnsi="Arial" w:cs="Arial"/>
      <w:color w:val="000080"/>
      <w:sz w:val="24"/>
      <w:szCs w:val="24"/>
      <w:u w:val="single"/>
    </w:rPr>
  </w:style>
  <w:style w:type="character" w:styleId="Hyperlink">
    <w:name w:val="Hyperlink"/>
    <w:uiPriority w:val="99"/>
    <w:rsid w:val="002F1976"/>
    <w:rPr>
      <w:rFonts w:ascii="Times New Roman" w:hAnsi="Times New Roman" w:cs="Arial"/>
      <w:color w:val="0000FF"/>
      <w:sz w:val="24"/>
      <w:szCs w:val="24"/>
      <w:u w:val="single"/>
    </w:rPr>
  </w:style>
  <w:style w:type="paragraph" w:styleId="ListBullet">
    <w:name w:val="List Bullet"/>
    <w:basedOn w:val="Normal"/>
    <w:autoRedefine/>
    <w:semiHidden/>
    <w:rsid w:val="006043C4"/>
    <w:pPr>
      <w:numPr>
        <w:numId w:val="1"/>
      </w:numPr>
      <w:tabs>
        <w:tab w:val="clear" w:pos="360"/>
        <w:tab w:val="num" w:pos="720"/>
      </w:tabs>
      <w:spacing w:before="100" w:beforeAutospacing="1" w:after="100" w:afterAutospacing="1"/>
      <w:ind w:left="720"/>
    </w:pPr>
  </w:style>
  <w:style w:type="paragraph" w:styleId="TOC1">
    <w:name w:val="toc 1"/>
    <w:basedOn w:val="Normal"/>
    <w:next w:val="Normal"/>
    <w:autoRedefine/>
    <w:uiPriority w:val="39"/>
    <w:rsid w:val="002F1976"/>
    <w:pPr>
      <w:spacing w:before="240" w:after="120"/>
    </w:pPr>
  </w:style>
  <w:style w:type="paragraph" w:styleId="TOC2">
    <w:name w:val="toc 2"/>
    <w:basedOn w:val="Normal"/>
    <w:next w:val="Normal"/>
    <w:autoRedefine/>
    <w:uiPriority w:val="39"/>
    <w:rsid w:val="002F1976"/>
    <w:pPr>
      <w:ind w:left="360"/>
    </w:pPr>
  </w:style>
  <w:style w:type="paragraph" w:styleId="TOC3">
    <w:name w:val="toc 3"/>
    <w:basedOn w:val="Normal"/>
    <w:next w:val="Normal"/>
    <w:autoRedefine/>
    <w:uiPriority w:val="39"/>
    <w:rsid w:val="006043C4"/>
    <w:pPr>
      <w:ind w:left="480"/>
    </w:pPr>
    <w:rPr>
      <w:i/>
      <w:iCs/>
      <w:sz w:val="20"/>
      <w:szCs w:val="20"/>
    </w:rPr>
  </w:style>
  <w:style w:type="paragraph" w:styleId="BodyText2">
    <w:name w:val="Body Text 2"/>
    <w:basedOn w:val="Normal"/>
    <w:semiHidden/>
    <w:rsid w:val="006043C4"/>
    <w:pPr>
      <w:spacing w:after="120" w:line="480" w:lineRule="auto"/>
    </w:pPr>
  </w:style>
  <w:style w:type="character" w:customStyle="1" w:styleId="BodyText2Char">
    <w:name w:val="Body Text 2 Char"/>
    <w:semiHidden/>
    <w:rsid w:val="006043C4"/>
    <w:rPr>
      <w:rFonts w:ascii="Arial" w:hAnsi="Arial" w:cs="Arial"/>
      <w:sz w:val="24"/>
      <w:szCs w:val="24"/>
    </w:rPr>
  </w:style>
  <w:style w:type="paragraph" w:styleId="TOC4">
    <w:name w:val="toc 4"/>
    <w:basedOn w:val="Normal"/>
    <w:next w:val="Normal"/>
    <w:autoRedefine/>
    <w:semiHidden/>
    <w:rsid w:val="006043C4"/>
    <w:pPr>
      <w:ind w:left="720"/>
    </w:pPr>
    <w:rPr>
      <w:sz w:val="18"/>
      <w:szCs w:val="18"/>
    </w:rPr>
  </w:style>
  <w:style w:type="paragraph" w:styleId="TOC5">
    <w:name w:val="toc 5"/>
    <w:basedOn w:val="Normal"/>
    <w:next w:val="Normal"/>
    <w:autoRedefine/>
    <w:semiHidden/>
    <w:rsid w:val="006043C4"/>
    <w:pPr>
      <w:ind w:left="960"/>
    </w:pPr>
    <w:rPr>
      <w:sz w:val="18"/>
      <w:szCs w:val="18"/>
    </w:rPr>
  </w:style>
  <w:style w:type="paragraph" w:styleId="TOC6">
    <w:name w:val="toc 6"/>
    <w:basedOn w:val="Normal"/>
    <w:next w:val="Normal"/>
    <w:autoRedefine/>
    <w:semiHidden/>
    <w:rsid w:val="006043C4"/>
    <w:pPr>
      <w:ind w:left="1200"/>
    </w:pPr>
    <w:rPr>
      <w:sz w:val="18"/>
      <w:szCs w:val="18"/>
    </w:rPr>
  </w:style>
  <w:style w:type="paragraph" w:styleId="TOC7">
    <w:name w:val="toc 7"/>
    <w:basedOn w:val="Normal"/>
    <w:next w:val="Normal"/>
    <w:autoRedefine/>
    <w:semiHidden/>
    <w:rsid w:val="006043C4"/>
    <w:pPr>
      <w:ind w:left="1440"/>
    </w:pPr>
    <w:rPr>
      <w:sz w:val="18"/>
      <w:szCs w:val="18"/>
    </w:rPr>
  </w:style>
  <w:style w:type="paragraph" w:styleId="TOC8">
    <w:name w:val="toc 8"/>
    <w:basedOn w:val="Normal"/>
    <w:next w:val="Normal"/>
    <w:autoRedefine/>
    <w:semiHidden/>
    <w:rsid w:val="006043C4"/>
    <w:pPr>
      <w:ind w:left="1680"/>
    </w:pPr>
    <w:rPr>
      <w:sz w:val="18"/>
      <w:szCs w:val="18"/>
    </w:rPr>
  </w:style>
  <w:style w:type="paragraph" w:styleId="TOC9">
    <w:name w:val="toc 9"/>
    <w:basedOn w:val="Normal"/>
    <w:next w:val="Normal"/>
    <w:autoRedefine/>
    <w:semiHidden/>
    <w:rsid w:val="006043C4"/>
    <w:pPr>
      <w:ind w:left="1920"/>
    </w:pPr>
    <w:rPr>
      <w:sz w:val="18"/>
      <w:szCs w:val="18"/>
    </w:rPr>
  </w:style>
  <w:style w:type="paragraph" w:styleId="Header">
    <w:name w:val="header"/>
    <w:basedOn w:val="Normal"/>
    <w:uiPriority w:val="99"/>
    <w:rsid w:val="006043C4"/>
    <w:pPr>
      <w:tabs>
        <w:tab w:val="center" w:pos="4320"/>
        <w:tab w:val="right" w:pos="8640"/>
      </w:tabs>
    </w:pPr>
  </w:style>
  <w:style w:type="character" w:customStyle="1" w:styleId="HeaderChar">
    <w:name w:val="Header Char"/>
    <w:uiPriority w:val="99"/>
    <w:rsid w:val="006043C4"/>
    <w:rPr>
      <w:rFonts w:ascii="Arial" w:hAnsi="Arial" w:cs="Arial"/>
      <w:sz w:val="24"/>
      <w:szCs w:val="24"/>
    </w:rPr>
  </w:style>
  <w:style w:type="paragraph" w:styleId="Footer">
    <w:name w:val="footer"/>
    <w:basedOn w:val="Normal"/>
    <w:uiPriority w:val="99"/>
    <w:rsid w:val="006043C4"/>
    <w:pPr>
      <w:tabs>
        <w:tab w:val="center" w:pos="4320"/>
        <w:tab w:val="right" w:pos="8640"/>
      </w:tabs>
    </w:pPr>
  </w:style>
  <w:style w:type="character" w:customStyle="1" w:styleId="FooterChar">
    <w:name w:val="Footer Char"/>
    <w:uiPriority w:val="99"/>
    <w:rsid w:val="006043C4"/>
    <w:rPr>
      <w:rFonts w:ascii="Arial" w:hAnsi="Arial" w:cs="Arial"/>
      <w:sz w:val="24"/>
      <w:szCs w:val="24"/>
    </w:rPr>
  </w:style>
  <w:style w:type="character" w:styleId="PageNumber">
    <w:name w:val="page number"/>
    <w:semiHidden/>
    <w:rsid w:val="006043C4"/>
    <w:rPr>
      <w:rFonts w:ascii="Times New Roman" w:hAnsi="Times New Roman" w:cs="Times New Roman"/>
    </w:rPr>
  </w:style>
  <w:style w:type="character" w:styleId="Strong">
    <w:name w:val="Strong"/>
    <w:qFormat/>
    <w:rsid w:val="006043C4"/>
    <w:rPr>
      <w:rFonts w:ascii="Times New Roman" w:hAnsi="Times New Roman" w:cs="Times New Roman"/>
      <w:b/>
      <w:bCs/>
    </w:rPr>
  </w:style>
  <w:style w:type="paragraph" w:styleId="NormalWeb">
    <w:name w:val="Normal (Web)"/>
    <w:basedOn w:val="Normal"/>
    <w:uiPriority w:val="99"/>
    <w:rsid w:val="006043C4"/>
    <w:pPr>
      <w:spacing w:before="100" w:beforeAutospacing="1" w:after="100" w:afterAutospacing="1"/>
    </w:pPr>
  </w:style>
  <w:style w:type="paragraph" w:styleId="BalloonText">
    <w:name w:val="Balloon Text"/>
    <w:basedOn w:val="Normal"/>
    <w:rsid w:val="006043C4"/>
    <w:rPr>
      <w:rFonts w:ascii="Tahoma" w:hAnsi="Tahoma" w:cs="Tahoma"/>
      <w:sz w:val="16"/>
      <w:szCs w:val="16"/>
    </w:rPr>
  </w:style>
  <w:style w:type="character" w:customStyle="1" w:styleId="BalloonTextChar">
    <w:name w:val="Balloon Text Char"/>
    <w:semiHidden/>
    <w:rsid w:val="006043C4"/>
    <w:rPr>
      <w:rFonts w:ascii="Tahoma" w:hAnsi="Tahoma" w:cs="Tahoma"/>
      <w:sz w:val="16"/>
      <w:szCs w:val="16"/>
    </w:rPr>
  </w:style>
  <w:style w:type="paragraph" w:styleId="BodyText">
    <w:name w:val="Body Text"/>
    <w:basedOn w:val="Normal"/>
    <w:semiHidden/>
    <w:rsid w:val="006043C4"/>
    <w:pPr>
      <w:spacing w:after="120"/>
    </w:pPr>
  </w:style>
  <w:style w:type="character" w:customStyle="1" w:styleId="BodyTextChar">
    <w:name w:val="Body Text Char"/>
    <w:semiHidden/>
    <w:rsid w:val="006043C4"/>
    <w:rPr>
      <w:rFonts w:ascii="Arial" w:hAnsi="Arial" w:cs="Arial"/>
      <w:sz w:val="24"/>
      <w:szCs w:val="24"/>
    </w:rPr>
  </w:style>
  <w:style w:type="paragraph" w:customStyle="1" w:styleId="StileTitolo2Allineatoasinistra">
    <w:name w:val="Stile Titolo 2 + Allineato a sinistra"/>
    <w:basedOn w:val="Heading2"/>
    <w:rsid w:val="006043C4"/>
    <w:rPr>
      <w:b w:val="0"/>
      <w:bCs/>
    </w:rPr>
  </w:style>
  <w:style w:type="paragraph" w:styleId="BodyTextIndent2">
    <w:name w:val="Body Text Indent 2"/>
    <w:basedOn w:val="Normal"/>
    <w:semiHidden/>
    <w:rsid w:val="006043C4"/>
    <w:pPr>
      <w:spacing w:after="120" w:line="480" w:lineRule="auto"/>
      <w:ind w:left="360"/>
    </w:pPr>
  </w:style>
  <w:style w:type="character" w:customStyle="1" w:styleId="BodyTextIndent2Char">
    <w:name w:val="Body Text Indent 2 Char"/>
    <w:semiHidden/>
    <w:rsid w:val="006043C4"/>
    <w:rPr>
      <w:rFonts w:ascii="Arial" w:hAnsi="Arial" w:cs="Arial"/>
      <w:sz w:val="24"/>
      <w:szCs w:val="24"/>
    </w:rPr>
  </w:style>
  <w:style w:type="paragraph" w:customStyle="1" w:styleId="titolo2">
    <w:name w:val="titolo2"/>
    <w:basedOn w:val="Normal"/>
    <w:autoRedefine/>
    <w:rsid w:val="006043C4"/>
    <w:pPr>
      <w:spacing w:line="480" w:lineRule="auto"/>
    </w:pPr>
  </w:style>
  <w:style w:type="paragraph" w:customStyle="1" w:styleId="titolo1">
    <w:name w:val="titolo1"/>
    <w:basedOn w:val="Normal"/>
    <w:rsid w:val="006043C4"/>
    <w:pPr>
      <w:spacing w:line="480" w:lineRule="auto"/>
      <w:jc w:val="center"/>
    </w:pPr>
  </w:style>
  <w:style w:type="paragraph" w:customStyle="1" w:styleId="mohamad1">
    <w:name w:val="mohamad1"/>
    <w:basedOn w:val="TOC1"/>
    <w:autoRedefine/>
    <w:rsid w:val="006043C4"/>
    <w:pPr>
      <w:spacing w:line="480" w:lineRule="auto"/>
      <w:jc w:val="center"/>
    </w:pPr>
    <w:rPr>
      <w:b/>
      <w:bCs/>
    </w:rPr>
  </w:style>
  <w:style w:type="character" w:customStyle="1" w:styleId="Char1">
    <w:name w:val="Char1"/>
    <w:rsid w:val="006043C4"/>
    <w:rPr>
      <w:rFonts w:ascii="Arial" w:hAnsi="Arial" w:cs="Arial"/>
      <w:sz w:val="24"/>
      <w:szCs w:val="24"/>
      <w:lang w:val="en-US" w:eastAsia="en-US"/>
    </w:rPr>
  </w:style>
  <w:style w:type="character" w:customStyle="1" w:styleId="mohamad1Carattere">
    <w:name w:val="mohamad1 Carattere"/>
    <w:basedOn w:val="Char1"/>
    <w:rsid w:val="006043C4"/>
    <w:rPr>
      <w:rFonts w:ascii="Arial" w:hAnsi="Arial" w:cs="Arial"/>
      <w:sz w:val="24"/>
      <w:szCs w:val="24"/>
      <w:lang w:val="en-US" w:eastAsia="en-US"/>
    </w:rPr>
  </w:style>
  <w:style w:type="paragraph" w:customStyle="1" w:styleId="header223levelsAPA">
    <w:name w:val="header2 2&amp;3 levels APA"/>
    <w:basedOn w:val="Heading2"/>
    <w:next w:val="Normal"/>
    <w:autoRedefine/>
    <w:rsid w:val="00F55E37"/>
    <w:rPr>
      <w:bCs/>
    </w:rPr>
  </w:style>
  <w:style w:type="character" w:customStyle="1" w:styleId="header223levelsAPACarattereCarattere">
    <w:name w:val="header2 2&amp;3 levels APA Carattere Carattere"/>
    <w:rsid w:val="006043C4"/>
    <w:rPr>
      <w:rFonts w:ascii="Arial" w:hAnsi="Arial" w:cs="Arial"/>
      <w:i/>
      <w:iCs/>
      <w:sz w:val="24"/>
      <w:szCs w:val="24"/>
      <w:lang w:val="en-US" w:eastAsia="en-US"/>
    </w:rPr>
  </w:style>
  <w:style w:type="paragraph" w:customStyle="1" w:styleId="header123levelsAPA">
    <w:name w:val="header1 2&amp;3 levels APA"/>
    <w:basedOn w:val="Heading1"/>
    <w:next w:val="Normal"/>
    <w:autoRedefine/>
    <w:rsid w:val="0057257C"/>
    <w:rPr>
      <w:b w:val="0"/>
      <w:bCs w:val="0"/>
    </w:rPr>
  </w:style>
  <w:style w:type="character" w:customStyle="1" w:styleId="header123levelsAPACarattereCarattere">
    <w:name w:val="header1 2&amp;3 levels APA Carattere Carattere"/>
    <w:basedOn w:val="Char1"/>
    <w:rsid w:val="006043C4"/>
    <w:rPr>
      <w:rFonts w:ascii="Arial" w:hAnsi="Arial" w:cs="Arial"/>
      <w:sz w:val="24"/>
      <w:szCs w:val="24"/>
      <w:lang w:val="en-US" w:eastAsia="en-US"/>
    </w:rPr>
  </w:style>
  <w:style w:type="paragraph" w:customStyle="1" w:styleId="Header323levelsAPA">
    <w:name w:val="Header3 2&amp;3 levels APA"/>
    <w:basedOn w:val="Heading3"/>
    <w:next w:val="Normal"/>
    <w:autoRedefine/>
    <w:rsid w:val="006043C4"/>
    <w:pPr>
      <w:spacing w:line="480" w:lineRule="auto"/>
      <w:ind w:firstLine="720"/>
    </w:pPr>
    <w:rPr>
      <w:b w:val="0"/>
      <w:bCs w:val="0"/>
      <w:i/>
      <w:iCs/>
      <w:szCs w:val="24"/>
    </w:rPr>
  </w:style>
  <w:style w:type="character" w:styleId="CommentReference">
    <w:name w:val="annotation reference"/>
    <w:uiPriority w:val="99"/>
    <w:semiHidden/>
    <w:rsid w:val="006043C4"/>
    <w:rPr>
      <w:rFonts w:ascii="Times New Roman" w:hAnsi="Times New Roman" w:cs="Times New Roman"/>
      <w:sz w:val="16"/>
      <w:szCs w:val="16"/>
    </w:rPr>
  </w:style>
  <w:style w:type="paragraph" w:styleId="CommentText">
    <w:name w:val="annotation text"/>
    <w:basedOn w:val="Normal"/>
    <w:uiPriority w:val="99"/>
    <w:rsid w:val="006043C4"/>
    <w:rPr>
      <w:sz w:val="20"/>
      <w:szCs w:val="20"/>
    </w:rPr>
  </w:style>
  <w:style w:type="character" w:customStyle="1" w:styleId="CommentTextChar">
    <w:name w:val="Comment Text Char"/>
    <w:uiPriority w:val="99"/>
    <w:rsid w:val="006043C4"/>
    <w:rPr>
      <w:rFonts w:ascii="Arial" w:hAnsi="Arial" w:cs="Arial"/>
      <w:sz w:val="20"/>
      <w:szCs w:val="20"/>
    </w:rPr>
  </w:style>
  <w:style w:type="paragraph" w:styleId="CommentSubject">
    <w:name w:val="annotation subject"/>
    <w:basedOn w:val="CommentText"/>
    <w:next w:val="CommentText"/>
    <w:rsid w:val="006043C4"/>
    <w:rPr>
      <w:b/>
      <w:bCs/>
    </w:rPr>
  </w:style>
  <w:style w:type="character" w:customStyle="1" w:styleId="CommentSubjectChar">
    <w:name w:val="Comment Subject Char"/>
    <w:semiHidden/>
    <w:rsid w:val="006043C4"/>
    <w:rPr>
      <w:rFonts w:ascii="Arial" w:hAnsi="Arial" w:cs="Arial"/>
      <w:b/>
      <w:bCs/>
      <w:sz w:val="20"/>
      <w:szCs w:val="20"/>
    </w:rPr>
  </w:style>
  <w:style w:type="character" w:customStyle="1" w:styleId="texhtml">
    <w:name w:val="texhtml"/>
    <w:rsid w:val="006043C4"/>
    <w:rPr>
      <w:rFonts w:ascii="Times New Roman" w:hAnsi="Times New Roman" w:cs="Times New Roman"/>
    </w:rPr>
  </w:style>
  <w:style w:type="character" w:customStyle="1" w:styleId="Char3">
    <w:name w:val="Char3"/>
    <w:rsid w:val="006043C4"/>
    <w:rPr>
      <w:rFonts w:ascii="Arial" w:hAnsi="Arial" w:cs="Arial"/>
      <w:b/>
      <w:bCs/>
      <w:color w:val="008000"/>
      <w:sz w:val="28"/>
      <w:szCs w:val="28"/>
      <w:lang w:val="en-US" w:eastAsia="en-US"/>
    </w:rPr>
  </w:style>
  <w:style w:type="character" w:customStyle="1" w:styleId="Header323levelsAPACarattere">
    <w:name w:val="Header3 2&amp;3 levels APA Carattere"/>
    <w:rsid w:val="006043C4"/>
    <w:rPr>
      <w:rFonts w:ascii="Arial" w:hAnsi="Arial" w:cs="Arial"/>
      <w:b/>
      <w:bCs/>
      <w:i/>
      <w:iCs/>
      <w:color w:val="008000"/>
      <w:sz w:val="24"/>
      <w:szCs w:val="24"/>
      <w:lang w:val="en-US" w:eastAsia="en-US"/>
    </w:rPr>
  </w:style>
  <w:style w:type="character" w:customStyle="1" w:styleId="Char4">
    <w:name w:val="Char4"/>
    <w:rsid w:val="006043C4"/>
    <w:rPr>
      <w:rFonts w:ascii="Arial" w:hAnsi="Arial" w:cs="Arial"/>
      <w:b/>
      <w:bCs/>
      <w:sz w:val="32"/>
      <w:szCs w:val="32"/>
      <w:lang w:val="en-US" w:eastAsia="en-US"/>
    </w:rPr>
  </w:style>
  <w:style w:type="character" w:customStyle="1" w:styleId="Char">
    <w:name w:val="Char"/>
    <w:rsid w:val="006043C4"/>
    <w:rPr>
      <w:rFonts w:ascii="Arial" w:hAnsi="Arial" w:cs="Arial"/>
      <w:sz w:val="24"/>
      <w:szCs w:val="24"/>
      <w:lang w:val="en-US" w:eastAsia="en-US"/>
    </w:rPr>
  </w:style>
  <w:style w:type="character" w:customStyle="1" w:styleId="content">
    <w:name w:val="content"/>
    <w:rsid w:val="006043C4"/>
    <w:rPr>
      <w:rFonts w:ascii="Times New Roman" w:hAnsi="Times New Roman" w:cs="Times New Roman"/>
    </w:rPr>
  </w:style>
  <w:style w:type="character" w:customStyle="1" w:styleId="Char2">
    <w:name w:val="Char2"/>
    <w:rsid w:val="006043C4"/>
    <w:rPr>
      <w:rFonts w:ascii="Arial" w:hAnsi="Arial" w:cs="Arial"/>
      <w:b/>
      <w:bCs/>
      <w:sz w:val="24"/>
      <w:szCs w:val="24"/>
      <w:lang w:val="en-US" w:eastAsia="en-US"/>
    </w:rPr>
  </w:style>
  <w:style w:type="character" w:customStyle="1" w:styleId="Heading3CharCharChar">
    <w:name w:val="Heading 3 Char Char Char"/>
    <w:rsid w:val="006043C4"/>
    <w:rPr>
      <w:rFonts w:ascii="Arial" w:hAnsi="Arial" w:cs="Arial"/>
      <w:b/>
      <w:bCs/>
      <w:color w:val="008000"/>
      <w:sz w:val="28"/>
      <w:szCs w:val="28"/>
      <w:lang w:val="en-US" w:eastAsia="en-US"/>
    </w:rPr>
  </w:style>
  <w:style w:type="paragraph" w:customStyle="1" w:styleId="ColorfulShading-Accent11">
    <w:name w:val="Colorful Shading - Accent 11"/>
    <w:hidden/>
    <w:semiHidden/>
    <w:rsid w:val="006043C4"/>
    <w:rPr>
      <w:rFonts w:ascii="Arial" w:hAnsi="Arial"/>
    </w:rPr>
  </w:style>
  <w:style w:type="paragraph" w:customStyle="1" w:styleId="ColorfulList-Accent11">
    <w:name w:val="Colorful List - Accent 11"/>
    <w:basedOn w:val="Normal"/>
    <w:qFormat/>
    <w:rsid w:val="006043C4"/>
    <w:pPr>
      <w:ind w:left="720"/>
    </w:pPr>
  </w:style>
  <w:style w:type="paragraph" w:customStyle="1" w:styleId="Default">
    <w:name w:val="Default"/>
    <w:rsid w:val="003A635A"/>
    <w:pPr>
      <w:autoSpaceDE w:val="0"/>
      <w:autoSpaceDN w:val="0"/>
      <w:adjustRightInd w:val="0"/>
    </w:pPr>
    <w:rPr>
      <w:rFonts w:eastAsia="Calibri" w:cs="Calibri"/>
      <w:color w:val="000000"/>
    </w:rPr>
  </w:style>
  <w:style w:type="paragraph" w:styleId="Revision">
    <w:name w:val="Revision"/>
    <w:hidden/>
    <w:uiPriority w:val="99"/>
    <w:semiHidden/>
    <w:rsid w:val="00565C72"/>
    <w:rPr>
      <w:rFonts w:ascii="Arial" w:hAnsi="Arial"/>
    </w:rPr>
  </w:style>
  <w:style w:type="paragraph" w:styleId="TOCHeading">
    <w:name w:val="TOC Heading"/>
    <w:basedOn w:val="Heading1"/>
    <w:next w:val="Normal"/>
    <w:uiPriority w:val="39"/>
    <w:semiHidden/>
    <w:unhideWhenUsed/>
    <w:qFormat/>
    <w:rsid w:val="00DE7DAE"/>
    <w:pPr>
      <w:keepLines/>
      <w:spacing w:before="480" w:line="276" w:lineRule="auto"/>
      <w:jc w:val="left"/>
      <w:outlineLvl w:val="9"/>
    </w:pPr>
    <w:rPr>
      <w:rFonts w:ascii="Cambria" w:hAnsi="Cambria"/>
      <w:color w:val="365F91"/>
      <w:sz w:val="28"/>
      <w:szCs w:val="28"/>
    </w:rPr>
  </w:style>
  <w:style w:type="paragraph" w:customStyle="1" w:styleId="DPHeading2">
    <w:name w:val="DP Heading2"/>
    <w:basedOn w:val="Heading2"/>
    <w:qFormat/>
    <w:rsid w:val="002A4DCC"/>
    <w:pPr>
      <w:keepLines/>
    </w:pPr>
  </w:style>
  <w:style w:type="character" w:styleId="HTMLCite">
    <w:name w:val="HTML Cite"/>
    <w:uiPriority w:val="99"/>
    <w:semiHidden/>
    <w:unhideWhenUsed/>
    <w:rsid w:val="00C25703"/>
    <w:rPr>
      <w:rFonts w:cs="Times New Roman"/>
      <w:i/>
      <w:iCs/>
    </w:rPr>
  </w:style>
  <w:style w:type="character" w:customStyle="1" w:styleId="citation">
    <w:name w:val="citation"/>
    <w:rsid w:val="00C25703"/>
    <w:rPr>
      <w:rFonts w:cs="Times New Roman"/>
    </w:rPr>
  </w:style>
  <w:style w:type="paragraph" w:customStyle="1" w:styleId="DPHeading1">
    <w:name w:val="DP Heading1"/>
    <w:basedOn w:val="Heading1"/>
    <w:qFormat/>
    <w:rsid w:val="00C25703"/>
    <w:pPr>
      <w:autoSpaceDE w:val="0"/>
      <w:autoSpaceDN w:val="0"/>
    </w:pPr>
  </w:style>
  <w:style w:type="paragraph" w:styleId="ListParagraph">
    <w:name w:val="List Paragraph"/>
    <w:basedOn w:val="Normal"/>
    <w:uiPriority w:val="34"/>
    <w:qFormat/>
    <w:rsid w:val="00AA1A8A"/>
    <w:pPr>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997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2077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4F0A96"/>
    <w:rPr>
      <w:b/>
      <w:bCs/>
      <w:sz w:val="20"/>
      <w:szCs w:val="20"/>
    </w:rPr>
  </w:style>
  <w:style w:type="paragraph" w:styleId="TableofFigures">
    <w:name w:val="table of figures"/>
    <w:basedOn w:val="Normal"/>
    <w:next w:val="Normal"/>
    <w:uiPriority w:val="99"/>
    <w:unhideWhenUsed/>
    <w:rsid w:val="004F0A96"/>
  </w:style>
  <w:style w:type="paragraph" w:customStyle="1" w:styleId="Heading1notbold">
    <w:name w:val="Heading 1 not bold"/>
    <w:basedOn w:val="Heading1"/>
    <w:next w:val="NormalWeb"/>
    <w:qFormat/>
    <w:rsid w:val="00672F6D"/>
    <w:rPr>
      <w:b w:val="0"/>
    </w:rPr>
  </w:style>
  <w:style w:type="character" w:styleId="Emphasis">
    <w:name w:val="Emphasis"/>
    <w:uiPriority w:val="20"/>
    <w:qFormat/>
    <w:rsid w:val="00211246"/>
    <w:rPr>
      <w:rFonts w:ascii="Times New Roman" w:hAnsi="Times New Roman" w:cs="Times New Roman"/>
      <w:iCs/>
    </w:rPr>
  </w:style>
  <w:style w:type="paragraph" w:customStyle="1" w:styleId="Coversheet">
    <w:name w:val="Cover sheet"/>
    <w:basedOn w:val="Normal"/>
    <w:rsid w:val="00211246"/>
    <w:pPr>
      <w:jc w:val="center"/>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2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nlinelearningsurvey.com/reports/changingcours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29ADF8-E26C-40D9-B3AC-C4BAB0D4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7892</Words>
  <Characters>44989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MGT 5013</vt:lpstr>
    </vt:vector>
  </TitlesOfParts>
  <Company>Toshiba</Company>
  <LinksUpToDate>false</LinksUpToDate>
  <CharactersWithSpaces>52776</CharactersWithSpaces>
  <SharedDoc>false</SharedDoc>
  <HLinks>
    <vt:vector size="330" baseType="variant">
      <vt:variant>
        <vt:i4>7733368</vt:i4>
      </vt:variant>
      <vt:variant>
        <vt:i4>333</vt:i4>
      </vt:variant>
      <vt:variant>
        <vt:i4>0</vt:i4>
      </vt:variant>
      <vt:variant>
        <vt:i4>5</vt:i4>
      </vt:variant>
      <vt:variant>
        <vt:lpwstr>http://www.onlinelearningsurvey.com/reports/changingcourse.pdf</vt:lpwstr>
      </vt:variant>
      <vt:variant>
        <vt:lpwstr/>
      </vt:variant>
      <vt:variant>
        <vt:i4>1769527</vt:i4>
      </vt:variant>
      <vt:variant>
        <vt:i4>323</vt:i4>
      </vt:variant>
      <vt:variant>
        <vt:i4>0</vt:i4>
      </vt:variant>
      <vt:variant>
        <vt:i4>5</vt:i4>
      </vt:variant>
      <vt:variant>
        <vt:lpwstr/>
      </vt:variant>
      <vt:variant>
        <vt:lpwstr>_Toc359855846</vt:lpwstr>
      </vt:variant>
      <vt:variant>
        <vt:i4>1310771</vt:i4>
      </vt:variant>
      <vt:variant>
        <vt:i4>314</vt:i4>
      </vt:variant>
      <vt:variant>
        <vt:i4>0</vt:i4>
      </vt:variant>
      <vt:variant>
        <vt:i4>5</vt:i4>
      </vt:variant>
      <vt:variant>
        <vt:lpwstr/>
      </vt:variant>
      <vt:variant>
        <vt:lpwstr>_Toc360193978</vt:lpwstr>
      </vt:variant>
      <vt:variant>
        <vt:i4>1310771</vt:i4>
      </vt:variant>
      <vt:variant>
        <vt:i4>308</vt:i4>
      </vt:variant>
      <vt:variant>
        <vt:i4>0</vt:i4>
      </vt:variant>
      <vt:variant>
        <vt:i4>5</vt:i4>
      </vt:variant>
      <vt:variant>
        <vt:lpwstr/>
      </vt:variant>
      <vt:variant>
        <vt:lpwstr>_Toc360193977</vt:lpwstr>
      </vt:variant>
      <vt:variant>
        <vt:i4>1310771</vt:i4>
      </vt:variant>
      <vt:variant>
        <vt:i4>302</vt:i4>
      </vt:variant>
      <vt:variant>
        <vt:i4>0</vt:i4>
      </vt:variant>
      <vt:variant>
        <vt:i4>5</vt:i4>
      </vt:variant>
      <vt:variant>
        <vt:lpwstr/>
      </vt:variant>
      <vt:variant>
        <vt:lpwstr>_Toc360193976</vt:lpwstr>
      </vt:variant>
      <vt:variant>
        <vt:i4>1310771</vt:i4>
      </vt:variant>
      <vt:variant>
        <vt:i4>296</vt:i4>
      </vt:variant>
      <vt:variant>
        <vt:i4>0</vt:i4>
      </vt:variant>
      <vt:variant>
        <vt:i4>5</vt:i4>
      </vt:variant>
      <vt:variant>
        <vt:lpwstr/>
      </vt:variant>
      <vt:variant>
        <vt:lpwstr>_Toc360193975</vt:lpwstr>
      </vt:variant>
      <vt:variant>
        <vt:i4>1310771</vt:i4>
      </vt:variant>
      <vt:variant>
        <vt:i4>290</vt:i4>
      </vt:variant>
      <vt:variant>
        <vt:i4>0</vt:i4>
      </vt:variant>
      <vt:variant>
        <vt:i4>5</vt:i4>
      </vt:variant>
      <vt:variant>
        <vt:lpwstr/>
      </vt:variant>
      <vt:variant>
        <vt:lpwstr>_Toc360193974</vt:lpwstr>
      </vt:variant>
      <vt:variant>
        <vt:i4>1310771</vt:i4>
      </vt:variant>
      <vt:variant>
        <vt:i4>284</vt:i4>
      </vt:variant>
      <vt:variant>
        <vt:i4>0</vt:i4>
      </vt:variant>
      <vt:variant>
        <vt:i4>5</vt:i4>
      </vt:variant>
      <vt:variant>
        <vt:lpwstr/>
      </vt:variant>
      <vt:variant>
        <vt:lpwstr>_Toc360193973</vt:lpwstr>
      </vt:variant>
      <vt:variant>
        <vt:i4>1310771</vt:i4>
      </vt:variant>
      <vt:variant>
        <vt:i4>278</vt:i4>
      </vt:variant>
      <vt:variant>
        <vt:i4>0</vt:i4>
      </vt:variant>
      <vt:variant>
        <vt:i4>5</vt:i4>
      </vt:variant>
      <vt:variant>
        <vt:lpwstr/>
      </vt:variant>
      <vt:variant>
        <vt:lpwstr>_Toc360193972</vt:lpwstr>
      </vt:variant>
      <vt:variant>
        <vt:i4>1310771</vt:i4>
      </vt:variant>
      <vt:variant>
        <vt:i4>272</vt:i4>
      </vt:variant>
      <vt:variant>
        <vt:i4>0</vt:i4>
      </vt:variant>
      <vt:variant>
        <vt:i4>5</vt:i4>
      </vt:variant>
      <vt:variant>
        <vt:lpwstr/>
      </vt:variant>
      <vt:variant>
        <vt:lpwstr>_Toc360193971</vt:lpwstr>
      </vt:variant>
      <vt:variant>
        <vt:i4>1310771</vt:i4>
      </vt:variant>
      <vt:variant>
        <vt:i4>266</vt:i4>
      </vt:variant>
      <vt:variant>
        <vt:i4>0</vt:i4>
      </vt:variant>
      <vt:variant>
        <vt:i4>5</vt:i4>
      </vt:variant>
      <vt:variant>
        <vt:lpwstr/>
      </vt:variant>
      <vt:variant>
        <vt:lpwstr>_Toc360193970</vt:lpwstr>
      </vt:variant>
      <vt:variant>
        <vt:i4>1376307</vt:i4>
      </vt:variant>
      <vt:variant>
        <vt:i4>260</vt:i4>
      </vt:variant>
      <vt:variant>
        <vt:i4>0</vt:i4>
      </vt:variant>
      <vt:variant>
        <vt:i4>5</vt:i4>
      </vt:variant>
      <vt:variant>
        <vt:lpwstr/>
      </vt:variant>
      <vt:variant>
        <vt:lpwstr>_Toc360193969</vt:lpwstr>
      </vt:variant>
      <vt:variant>
        <vt:i4>1376307</vt:i4>
      </vt:variant>
      <vt:variant>
        <vt:i4>254</vt:i4>
      </vt:variant>
      <vt:variant>
        <vt:i4>0</vt:i4>
      </vt:variant>
      <vt:variant>
        <vt:i4>5</vt:i4>
      </vt:variant>
      <vt:variant>
        <vt:lpwstr/>
      </vt:variant>
      <vt:variant>
        <vt:lpwstr>_Toc360193968</vt:lpwstr>
      </vt:variant>
      <vt:variant>
        <vt:i4>1376307</vt:i4>
      </vt:variant>
      <vt:variant>
        <vt:i4>248</vt:i4>
      </vt:variant>
      <vt:variant>
        <vt:i4>0</vt:i4>
      </vt:variant>
      <vt:variant>
        <vt:i4>5</vt:i4>
      </vt:variant>
      <vt:variant>
        <vt:lpwstr/>
      </vt:variant>
      <vt:variant>
        <vt:lpwstr>_Toc360193967</vt:lpwstr>
      </vt:variant>
      <vt:variant>
        <vt:i4>1376307</vt:i4>
      </vt:variant>
      <vt:variant>
        <vt:i4>242</vt:i4>
      </vt:variant>
      <vt:variant>
        <vt:i4>0</vt:i4>
      </vt:variant>
      <vt:variant>
        <vt:i4>5</vt:i4>
      </vt:variant>
      <vt:variant>
        <vt:lpwstr/>
      </vt:variant>
      <vt:variant>
        <vt:lpwstr>_Toc360193966</vt:lpwstr>
      </vt:variant>
      <vt:variant>
        <vt:i4>1376307</vt:i4>
      </vt:variant>
      <vt:variant>
        <vt:i4>236</vt:i4>
      </vt:variant>
      <vt:variant>
        <vt:i4>0</vt:i4>
      </vt:variant>
      <vt:variant>
        <vt:i4>5</vt:i4>
      </vt:variant>
      <vt:variant>
        <vt:lpwstr/>
      </vt:variant>
      <vt:variant>
        <vt:lpwstr>_Toc360193965</vt:lpwstr>
      </vt:variant>
      <vt:variant>
        <vt:i4>1376307</vt:i4>
      </vt:variant>
      <vt:variant>
        <vt:i4>230</vt:i4>
      </vt:variant>
      <vt:variant>
        <vt:i4>0</vt:i4>
      </vt:variant>
      <vt:variant>
        <vt:i4>5</vt:i4>
      </vt:variant>
      <vt:variant>
        <vt:lpwstr/>
      </vt:variant>
      <vt:variant>
        <vt:lpwstr>_Toc360193964</vt:lpwstr>
      </vt:variant>
      <vt:variant>
        <vt:i4>1376307</vt:i4>
      </vt:variant>
      <vt:variant>
        <vt:i4>224</vt:i4>
      </vt:variant>
      <vt:variant>
        <vt:i4>0</vt:i4>
      </vt:variant>
      <vt:variant>
        <vt:i4>5</vt:i4>
      </vt:variant>
      <vt:variant>
        <vt:lpwstr/>
      </vt:variant>
      <vt:variant>
        <vt:lpwstr>_Toc360193963</vt:lpwstr>
      </vt:variant>
      <vt:variant>
        <vt:i4>1376307</vt:i4>
      </vt:variant>
      <vt:variant>
        <vt:i4>218</vt:i4>
      </vt:variant>
      <vt:variant>
        <vt:i4>0</vt:i4>
      </vt:variant>
      <vt:variant>
        <vt:i4>5</vt:i4>
      </vt:variant>
      <vt:variant>
        <vt:lpwstr/>
      </vt:variant>
      <vt:variant>
        <vt:lpwstr>_Toc360193962</vt:lpwstr>
      </vt:variant>
      <vt:variant>
        <vt:i4>1376307</vt:i4>
      </vt:variant>
      <vt:variant>
        <vt:i4>212</vt:i4>
      </vt:variant>
      <vt:variant>
        <vt:i4>0</vt:i4>
      </vt:variant>
      <vt:variant>
        <vt:i4>5</vt:i4>
      </vt:variant>
      <vt:variant>
        <vt:lpwstr/>
      </vt:variant>
      <vt:variant>
        <vt:lpwstr>_Toc360193961</vt:lpwstr>
      </vt:variant>
      <vt:variant>
        <vt:i4>1376307</vt:i4>
      </vt:variant>
      <vt:variant>
        <vt:i4>206</vt:i4>
      </vt:variant>
      <vt:variant>
        <vt:i4>0</vt:i4>
      </vt:variant>
      <vt:variant>
        <vt:i4>5</vt:i4>
      </vt:variant>
      <vt:variant>
        <vt:lpwstr/>
      </vt:variant>
      <vt:variant>
        <vt:lpwstr>_Toc360193960</vt:lpwstr>
      </vt:variant>
      <vt:variant>
        <vt:i4>1441843</vt:i4>
      </vt:variant>
      <vt:variant>
        <vt:i4>200</vt:i4>
      </vt:variant>
      <vt:variant>
        <vt:i4>0</vt:i4>
      </vt:variant>
      <vt:variant>
        <vt:i4>5</vt:i4>
      </vt:variant>
      <vt:variant>
        <vt:lpwstr/>
      </vt:variant>
      <vt:variant>
        <vt:lpwstr>_Toc360193959</vt:lpwstr>
      </vt:variant>
      <vt:variant>
        <vt:i4>1441843</vt:i4>
      </vt:variant>
      <vt:variant>
        <vt:i4>194</vt:i4>
      </vt:variant>
      <vt:variant>
        <vt:i4>0</vt:i4>
      </vt:variant>
      <vt:variant>
        <vt:i4>5</vt:i4>
      </vt:variant>
      <vt:variant>
        <vt:lpwstr/>
      </vt:variant>
      <vt:variant>
        <vt:lpwstr>_Toc360193958</vt:lpwstr>
      </vt:variant>
      <vt:variant>
        <vt:i4>1441843</vt:i4>
      </vt:variant>
      <vt:variant>
        <vt:i4>188</vt:i4>
      </vt:variant>
      <vt:variant>
        <vt:i4>0</vt:i4>
      </vt:variant>
      <vt:variant>
        <vt:i4>5</vt:i4>
      </vt:variant>
      <vt:variant>
        <vt:lpwstr/>
      </vt:variant>
      <vt:variant>
        <vt:lpwstr>_Toc360193957</vt:lpwstr>
      </vt:variant>
      <vt:variant>
        <vt:i4>1441843</vt:i4>
      </vt:variant>
      <vt:variant>
        <vt:i4>182</vt:i4>
      </vt:variant>
      <vt:variant>
        <vt:i4>0</vt:i4>
      </vt:variant>
      <vt:variant>
        <vt:i4>5</vt:i4>
      </vt:variant>
      <vt:variant>
        <vt:lpwstr/>
      </vt:variant>
      <vt:variant>
        <vt:lpwstr>_Toc360193956</vt:lpwstr>
      </vt:variant>
      <vt:variant>
        <vt:i4>1441843</vt:i4>
      </vt:variant>
      <vt:variant>
        <vt:i4>176</vt:i4>
      </vt:variant>
      <vt:variant>
        <vt:i4>0</vt:i4>
      </vt:variant>
      <vt:variant>
        <vt:i4>5</vt:i4>
      </vt:variant>
      <vt:variant>
        <vt:lpwstr/>
      </vt:variant>
      <vt:variant>
        <vt:lpwstr>_Toc360193955</vt:lpwstr>
      </vt:variant>
      <vt:variant>
        <vt:i4>1441843</vt:i4>
      </vt:variant>
      <vt:variant>
        <vt:i4>170</vt:i4>
      </vt:variant>
      <vt:variant>
        <vt:i4>0</vt:i4>
      </vt:variant>
      <vt:variant>
        <vt:i4>5</vt:i4>
      </vt:variant>
      <vt:variant>
        <vt:lpwstr/>
      </vt:variant>
      <vt:variant>
        <vt:lpwstr>_Toc360193954</vt:lpwstr>
      </vt:variant>
      <vt:variant>
        <vt:i4>1441843</vt:i4>
      </vt:variant>
      <vt:variant>
        <vt:i4>164</vt:i4>
      </vt:variant>
      <vt:variant>
        <vt:i4>0</vt:i4>
      </vt:variant>
      <vt:variant>
        <vt:i4>5</vt:i4>
      </vt:variant>
      <vt:variant>
        <vt:lpwstr/>
      </vt:variant>
      <vt:variant>
        <vt:lpwstr>_Toc360193953</vt:lpwstr>
      </vt:variant>
      <vt:variant>
        <vt:i4>1441843</vt:i4>
      </vt:variant>
      <vt:variant>
        <vt:i4>158</vt:i4>
      </vt:variant>
      <vt:variant>
        <vt:i4>0</vt:i4>
      </vt:variant>
      <vt:variant>
        <vt:i4>5</vt:i4>
      </vt:variant>
      <vt:variant>
        <vt:lpwstr/>
      </vt:variant>
      <vt:variant>
        <vt:lpwstr>_Toc360193952</vt:lpwstr>
      </vt:variant>
      <vt:variant>
        <vt:i4>1441843</vt:i4>
      </vt:variant>
      <vt:variant>
        <vt:i4>152</vt:i4>
      </vt:variant>
      <vt:variant>
        <vt:i4>0</vt:i4>
      </vt:variant>
      <vt:variant>
        <vt:i4>5</vt:i4>
      </vt:variant>
      <vt:variant>
        <vt:lpwstr/>
      </vt:variant>
      <vt:variant>
        <vt:lpwstr>_Toc360193951</vt:lpwstr>
      </vt:variant>
      <vt:variant>
        <vt:i4>1441843</vt:i4>
      </vt:variant>
      <vt:variant>
        <vt:i4>146</vt:i4>
      </vt:variant>
      <vt:variant>
        <vt:i4>0</vt:i4>
      </vt:variant>
      <vt:variant>
        <vt:i4>5</vt:i4>
      </vt:variant>
      <vt:variant>
        <vt:lpwstr/>
      </vt:variant>
      <vt:variant>
        <vt:lpwstr>_Toc360193950</vt:lpwstr>
      </vt:variant>
      <vt:variant>
        <vt:i4>1507379</vt:i4>
      </vt:variant>
      <vt:variant>
        <vt:i4>140</vt:i4>
      </vt:variant>
      <vt:variant>
        <vt:i4>0</vt:i4>
      </vt:variant>
      <vt:variant>
        <vt:i4>5</vt:i4>
      </vt:variant>
      <vt:variant>
        <vt:lpwstr/>
      </vt:variant>
      <vt:variant>
        <vt:lpwstr>_Toc360193949</vt:lpwstr>
      </vt:variant>
      <vt:variant>
        <vt:i4>1507379</vt:i4>
      </vt:variant>
      <vt:variant>
        <vt:i4>134</vt:i4>
      </vt:variant>
      <vt:variant>
        <vt:i4>0</vt:i4>
      </vt:variant>
      <vt:variant>
        <vt:i4>5</vt:i4>
      </vt:variant>
      <vt:variant>
        <vt:lpwstr/>
      </vt:variant>
      <vt:variant>
        <vt:lpwstr>_Toc360193948</vt:lpwstr>
      </vt:variant>
      <vt:variant>
        <vt:i4>1507379</vt:i4>
      </vt:variant>
      <vt:variant>
        <vt:i4>128</vt:i4>
      </vt:variant>
      <vt:variant>
        <vt:i4>0</vt:i4>
      </vt:variant>
      <vt:variant>
        <vt:i4>5</vt:i4>
      </vt:variant>
      <vt:variant>
        <vt:lpwstr/>
      </vt:variant>
      <vt:variant>
        <vt:lpwstr>_Toc360193947</vt:lpwstr>
      </vt:variant>
      <vt:variant>
        <vt:i4>1507379</vt:i4>
      </vt:variant>
      <vt:variant>
        <vt:i4>122</vt:i4>
      </vt:variant>
      <vt:variant>
        <vt:i4>0</vt:i4>
      </vt:variant>
      <vt:variant>
        <vt:i4>5</vt:i4>
      </vt:variant>
      <vt:variant>
        <vt:lpwstr/>
      </vt:variant>
      <vt:variant>
        <vt:lpwstr>_Toc360193946</vt:lpwstr>
      </vt:variant>
      <vt:variant>
        <vt:i4>1507379</vt:i4>
      </vt:variant>
      <vt:variant>
        <vt:i4>116</vt:i4>
      </vt:variant>
      <vt:variant>
        <vt:i4>0</vt:i4>
      </vt:variant>
      <vt:variant>
        <vt:i4>5</vt:i4>
      </vt:variant>
      <vt:variant>
        <vt:lpwstr/>
      </vt:variant>
      <vt:variant>
        <vt:lpwstr>_Toc360193945</vt:lpwstr>
      </vt:variant>
      <vt:variant>
        <vt:i4>1507379</vt:i4>
      </vt:variant>
      <vt:variant>
        <vt:i4>110</vt:i4>
      </vt:variant>
      <vt:variant>
        <vt:i4>0</vt:i4>
      </vt:variant>
      <vt:variant>
        <vt:i4>5</vt:i4>
      </vt:variant>
      <vt:variant>
        <vt:lpwstr/>
      </vt:variant>
      <vt:variant>
        <vt:lpwstr>_Toc360193944</vt:lpwstr>
      </vt:variant>
      <vt:variant>
        <vt:i4>1507379</vt:i4>
      </vt:variant>
      <vt:variant>
        <vt:i4>104</vt:i4>
      </vt:variant>
      <vt:variant>
        <vt:i4>0</vt:i4>
      </vt:variant>
      <vt:variant>
        <vt:i4>5</vt:i4>
      </vt:variant>
      <vt:variant>
        <vt:lpwstr/>
      </vt:variant>
      <vt:variant>
        <vt:lpwstr>_Toc360193943</vt:lpwstr>
      </vt:variant>
      <vt:variant>
        <vt:i4>1507379</vt:i4>
      </vt:variant>
      <vt:variant>
        <vt:i4>98</vt:i4>
      </vt:variant>
      <vt:variant>
        <vt:i4>0</vt:i4>
      </vt:variant>
      <vt:variant>
        <vt:i4>5</vt:i4>
      </vt:variant>
      <vt:variant>
        <vt:lpwstr/>
      </vt:variant>
      <vt:variant>
        <vt:lpwstr>_Toc360193942</vt:lpwstr>
      </vt:variant>
      <vt:variant>
        <vt:i4>1507379</vt:i4>
      </vt:variant>
      <vt:variant>
        <vt:i4>92</vt:i4>
      </vt:variant>
      <vt:variant>
        <vt:i4>0</vt:i4>
      </vt:variant>
      <vt:variant>
        <vt:i4>5</vt:i4>
      </vt:variant>
      <vt:variant>
        <vt:lpwstr/>
      </vt:variant>
      <vt:variant>
        <vt:lpwstr>_Toc360193941</vt:lpwstr>
      </vt:variant>
      <vt:variant>
        <vt:i4>1507379</vt:i4>
      </vt:variant>
      <vt:variant>
        <vt:i4>86</vt:i4>
      </vt:variant>
      <vt:variant>
        <vt:i4>0</vt:i4>
      </vt:variant>
      <vt:variant>
        <vt:i4>5</vt:i4>
      </vt:variant>
      <vt:variant>
        <vt:lpwstr/>
      </vt:variant>
      <vt:variant>
        <vt:lpwstr>_Toc360193940</vt:lpwstr>
      </vt:variant>
      <vt:variant>
        <vt:i4>1048627</vt:i4>
      </vt:variant>
      <vt:variant>
        <vt:i4>80</vt:i4>
      </vt:variant>
      <vt:variant>
        <vt:i4>0</vt:i4>
      </vt:variant>
      <vt:variant>
        <vt:i4>5</vt:i4>
      </vt:variant>
      <vt:variant>
        <vt:lpwstr/>
      </vt:variant>
      <vt:variant>
        <vt:lpwstr>_Toc360193939</vt:lpwstr>
      </vt:variant>
      <vt:variant>
        <vt:i4>1048627</vt:i4>
      </vt:variant>
      <vt:variant>
        <vt:i4>74</vt:i4>
      </vt:variant>
      <vt:variant>
        <vt:i4>0</vt:i4>
      </vt:variant>
      <vt:variant>
        <vt:i4>5</vt:i4>
      </vt:variant>
      <vt:variant>
        <vt:lpwstr/>
      </vt:variant>
      <vt:variant>
        <vt:lpwstr>_Toc360193938</vt:lpwstr>
      </vt:variant>
      <vt:variant>
        <vt:i4>1048627</vt:i4>
      </vt:variant>
      <vt:variant>
        <vt:i4>68</vt:i4>
      </vt:variant>
      <vt:variant>
        <vt:i4>0</vt:i4>
      </vt:variant>
      <vt:variant>
        <vt:i4>5</vt:i4>
      </vt:variant>
      <vt:variant>
        <vt:lpwstr/>
      </vt:variant>
      <vt:variant>
        <vt:lpwstr>_Toc360193937</vt:lpwstr>
      </vt:variant>
      <vt:variant>
        <vt:i4>1048627</vt:i4>
      </vt:variant>
      <vt:variant>
        <vt:i4>62</vt:i4>
      </vt:variant>
      <vt:variant>
        <vt:i4>0</vt:i4>
      </vt:variant>
      <vt:variant>
        <vt:i4>5</vt:i4>
      </vt:variant>
      <vt:variant>
        <vt:lpwstr/>
      </vt:variant>
      <vt:variant>
        <vt:lpwstr>_Toc360193936</vt:lpwstr>
      </vt:variant>
      <vt:variant>
        <vt:i4>1048627</vt:i4>
      </vt:variant>
      <vt:variant>
        <vt:i4>56</vt:i4>
      </vt:variant>
      <vt:variant>
        <vt:i4>0</vt:i4>
      </vt:variant>
      <vt:variant>
        <vt:i4>5</vt:i4>
      </vt:variant>
      <vt:variant>
        <vt:lpwstr/>
      </vt:variant>
      <vt:variant>
        <vt:lpwstr>_Toc360193935</vt:lpwstr>
      </vt:variant>
      <vt:variant>
        <vt:i4>1048627</vt:i4>
      </vt:variant>
      <vt:variant>
        <vt:i4>50</vt:i4>
      </vt:variant>
      <vt:variant>
        <vt:i4>0</vt:i4>
      </vt:variant>
      <vt:variant>
        <vt:i4>5</vt:i4>
      </vt:variant>
      <vt:variant>
        <vt:lpwstr/>
      </vt:variant>
      <vt:variant>
        <vt:lpwstr>_Toc360193934</vt:lpwstr>
      </vt:variant>
      <vt:variant>
        <vt:i4>1048627</vt:i4>
      </vt:variant>
      <vt:variant>
        <vt:i4>44</vt:i4>
      </vt:variant>
      <vt:variant>
        <vt:i4>0</vt:i4>
      </vt:variant>
      <vt:variant>
        <vt:i4>5</vt:i4>
      </vt:variant>
      <vt:variant>
        <vt:lpwstr/>
      </vt:variant>
      <vt:variant>
        <vt:lpwstr>_Toc360193933</vt:lpwstr>
      </vt:variant>
      <vt:variant>
        <vt:i4>1048627</vt:i4>
      </vt:variant>
      <vt:variant>
        <vt:i4>38</vt:i4>
      </vt:variant>
      <vt:variant>
        <vt:i4>0</vt:i4>
      </vt:variant>
      <vt:variant>
        <vt:i4>5</vt:i4>
      </vt:variant>
      <vt:variant>
        <vt:lpwstr/>
      </vt:variant>
      <vt:variant>
        <vt:lpwstr>_Toc360193932</vt:lpwstr>
      </vt:variant>
      <vt:variant>
        <vt:i4>1048627</vt:i4>
      </vt:variant>
      <vt:variant>
        <vt:i4>32</vt:i4>
      </vt:variant>
      <vt:variant>
        <vt:i4>0</vt:i4>
      </vt:variant>
      <vt:variant>
        <vt:i4>5</vt:i4>
      </vt:variant>
      <vt:variant>
        <vt:lpwstr/>
      </vt:variant>
      <vt:variant>
        <vt:lpwstr>_Toc360193931</vt:lpwstr>
      </vt:variant>
      <vt:variant>
        <vt:i4>1048627</vt:i4>
      </vt:variant>
      <vt:variant>
        <vt:i4>26</vt:i4>
      </vt:variant>
      <vt:variant>
        <vt:i4>0</vt:i4>
      </vt:variant>
      <vt:variant>
        <vt:i4>5</vt:i4>
      </vt:variant>
      <vt:variant>
        <vt:lpwstr/>
      </vt:variant>
      <vt:variant>
        <vt:lpwstr>_Toc360193930</vt:lpwstr>
      </vt:variant>
      <vt:variant>
        <vt:i4>1114163</vt:i4>
      </vt:variant>
      <vt:variant>
        <vt:i4>20</vt:i4>
      </vt:variant>
      <vt:variant>
        <vt:i4>0</vt:i4>
      </vt:variant>
      <vt:variant>
        <vt:i4>5</vt:i4>
      </vt:variant>
      <vt:variant>
        <vt:lpwstr/>
      </vt:variant>
      <vt:variant>
        <vt:lpwstr>_Toc360193929</vt:lpwstr>
      </vt:variant>
      <vt:variant>
        <vt:i4>1114163</vt:i4>
      </vt:variant>
      <vt:variant>
        <vt:i4>14</vt:i4>
      </vt:variant>
      <vt:variant>
        <vt:i4>0</vt:i4>
      </vt:variant>
      <vt:variant>
        <vt:i4>5</vt:i4>
      </vt:variant>
      <vt:variant>
        <vt:lpwstr/>
      </vt:variant>
      <vt:variant>
        <vt:lpwstr>_Toc360193928</vt:lpwstr>
      </vt:variant>
      <vt:variant>
        <vt:i4>1114163</vt:i4>
      </vt:variant>
      <vt:variant>
        <vt:i4>8</vt:i4>
      </vt:variant>
      <vt:variant>
        <vt:i4>0</vt:i4>
      </vt:variant>
      <vt:variant>
        <vt:i4>5</vt:i4>
      </vt:variant>
      <vt:variant>
        <vt:lpwstr/>
      </vt:variant>
      <vt:variant>
        <vt:lpwstr>_Toc360193927</vt:lpwstr>
      </vt:variant>
      <vt:variant>
        <vt:i4>1114163</vt:i4>
      </vt:variant>
      <vt:variant>
        <vt:i4>2</vt:i4>
      </vt:variant>
      <vt:variant>
        <vt:i4>0</vt:i4>
      </vt:variant>
      <vt:variant>
        <vt:i4>5</vt:i4>
      </vt:variant>
      <vt:variant>
        <vt:lpwstr/>
      </vt:variant>
      <vt:variant>
        <vt:lpwstr>_Toc360193926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MGT 5013</dc:title>
  <dc:creator>Scott Burrus</dc:creator>
  <cp:keywords>page check word break select</cp:keywords>
  <cp:lastModifiedBy>Donald Perrin</cp:lastModifiedBy>
  <cp:revision>2</cp:revision>
  <cp:lastPrinted>2013-09-23T19:47:00Z</cp:lastPrinted>
  <dcterms:created xsi:type="dcterms:W3CDTF">2015-09-11T19:13:00Z</dcterms:created>
  <dcterms:modified xsi:type="dcterms:W3CDTF">2015-09-11T19:13:00Z</dcterms:modified>
</cp:coreProperties>
</file>