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FF5E24" w:rsidP="00DB6BE5">
      <w:pPr>
        <w:jc w:val="center"/>
        <w:rPr>
          <w:rFonts w:ascii="Arial" w:hAnsi="Arial" w:cs="Arial"/>
          <w:b/>
          <w:sz w:val="24"/>
          <w:szCs w:val="24"/>
        </w:rPr>
      </w:pPr>
      <w:r>
        <w:rPr>
          <w:rFonts w:ascii="Arial" w:hAnsi="Arial" w:cs="Arial"/>
          <w:b/>
          <w:sz w:val="32"/>
          <w:szCs w:val="32"/>
        </w:rPr>
        <w:t>September</w:t>
      </w:r>
      <w:r w:rsidR="00F7772E">
        <w:rPr>
          <w:rFonts w:ascii="Arial" w:hAnsi="Arial" w:cs="Arial"/>
          <w:b/>
          <w:sz w:val="32"/>
          <w:szCs w:val="32"/>
        </w:rPr>
        <w:t xml:space="preserve"> 2014</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sidR="00F7772E">
        <w:rPr>
          <w:rFonts w:ascii="Arial" w:hAnsi="Arial" w:cs="Arial"/>
          <w:b/>
          <w:sz w:val="24"/>
          <w:szCs w:val="24"/>
        </w:rPr>
        <w:t>1</w:t>
      </w:r>
      <w:r w:rsidR="00101A3A">
        <w:rPr>
          <w:rFonts w:ascii="Arial" w:hAnsi="Arial" w:cs="Arial"/>
          <w:b/>
          <w:sz w:val="24"/>
          <w:szCs w:val="24"/>
        </w:rPr>
        <w:t xml:space="preserve"> Number </w:t>
      </w:r>
      <w:r>
        <w:rPr>
          <w:rFonts w:ascii="Arial" w:hAnsi="Arial" w:cs="Arial"/>
          <w:b/>
          <w:sz w:val="24"/>
          <w:szCs w:val="24"/>
        </w:rPr>
        <w:t>9</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55157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7772E">
        <w:rPr>
          <w:rFonts w:ascii="Arial" w:hAnsi="Arial" w:cs="Arial"/>
          <w:b/>
          <w:sz w:val="24"/>
          <w:szCs w:val="24"/>
        </w:rPr>
        <w:t>1</w:t>
      </w:r>
      <w:r w:rsidR="00101A3A">
        <w:rPr>
          <w:rFonts w:ascii="Arial" w:hAnsi="Arial" w:cs="Arial"/>
          <w:b/>
          <w:sz w:val="24"/>
          <w:szCs w:val="24"/>
        </w:rPr>
        <w:t xml:space="preserve">. </w:t>
      </w:r>
      <w:r>
        <w:rPr>
          <w:rFonts w:ascii="Arial" w:hAnsi="Arial" w:cs="Arial"/>
          <w:b/>
          <w:sz w:val="24"/>
          <w:szCs w:val="24"/>
        </w:rPr>
        <w:t xml:space="preserve">No. </w:t>
      </w:r>
      <w:r w:rsidR="00CD22DD">
        <w:rPr>
          <w:rFonts w:ascii="Arial" w:hAnsi="Arial" w:cs="Arial"/>
          <w:b/>
          <w:sz w:val="24"/>
          <w:szCs w:val="24"/>
        </w:rPr>
        <w:t>8</w:t>
      </w:r>
      <w:r w:rsidR="00101A3A">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FF5E24">
        <w:rPr>
          <w:sz w:val="28"/>
          <w:szCs w:val="28"/>
        </w:rPr>
        <w:t>September</w:t>
      </w:r>
      <w:r w:rsidR="002E617A">
        <w:rPr>
          <w:sz w:val="28"/>
          <w:szCs w:val="28"/>
        </w:rPr>
        <w:t xml:space="preserve"> </w:t>
      </w:r>
      <w:r w:rsidR="00F7772E">
        <w:rPr>
          <w:sz w:val="28"/>
          <w:szCs w:val="28"/>
        </w:rPr>
        <w:t>2014</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704D56">
            <w:pPr>
              <w:spacing w:before="0" w:after="0"/>
              <w:rPr>
                <w:rFonts w:ascii="Arial" w:hAnsi="Arial" w:cs="Arial"/>
              </w:rPr>
            </w:pPr>
          </w:p>
        </w:tc>
        <w:tc>
          <w:tcPr>
            <w:tcW w:w="918" w:type="dxa"/>
          </w:tcPr>
          <w:p w:rsidR="008F6FB1" w:rsidRPr="00807D9E" w:rsidRDefault="008F6FB1" w:rsidP="00704D56">
            <w:pPr>
              <w:pStyle w:val="Heading5"/>
              <w:spacing w:before="0" w:after="0"/>
              <w:rPr>
                <w:rFonts w:cs="Arial"/>
              </w:rPr>
            </w:pPr>
            <w:r w:rsidRPr="00807D9E">
              <w:rPr>
                <w:rFonts w:cs="Arial"/>
              </w:rPr>
              <w:t>Page</w:t>
            </w:r>
          </w:p>
        </w:tc>
      </w:tr>
      <w:tr w:rsidR="008F6FB1" w:rsidRPr="00807D9E" w:rsidTr="00745EBD">
        <w:tc>
          <w:tcPr>
            <w:tcW w:w="7938" w:type="dxa"/>
          </w:tcPr>
          <w:p w:rsidR="008F6FB1" w:rsidRPr="00807D9E" w:rsidRDefault="00642617" w:rsidP="00704D56">
            <w:pPr>
              <w:pStyle w:val="Heading3"/>
              <w:spacing w:before="0" w:after="0"/>
              <w:rPr>
                <w:rFonts w:cs="Arial"/>
              </w:rPr>
            </w:pPr>
            <w:r w:rsidRPr="00FF5E24">
              <w:rPr>
                <w:rFonts w:cs="Arial"/>
              </w:rPr>
              <w:t>Editorial</w:t>
            </w:r>
            <w:r w:rsidR="00E33B31" w:rsidRPr="00FF5E24">
              <w:rPr>
                <w:rFonts w:cs="Arial"/>
              </w:rPr>
              <w:t xml:space="preserve">: </w:t>
            </w:r>
          </w:p>
        </w:tc>
        <w:tc>
          <w:tcPr>
            <w:tcW w:w="918" w:type="dxa"/>
          </w:tcPr>
          <w:p w:rsidR="008F6FB1" w:rsidRPr="00807D9E" w:rsidRDefault="00642617" w:rsidP="00704D56">
            <w:pPr>
              <w:pStyle w:val="Heading5"/>
              <w:spacing w:before="0" w:after="0"/>
              <w:rPr>
                <w:rFonts w:cs="Arial"/>
              </w:rPr>
            </w:pPr>
            <w:r w:rsidRPr="00807D9E">
              <w:rPr>
                <w:rFonts w:cs="Arial"/>
              </w:rPr>
              <w:t>1</w:t>
            </w:r>
          </w:p>
        </w:tc>
      </w:tr>
      <w:tr w:rsidR="00745EBD" w:rsidRPr="00807D9E" w:rsidTr="00745EBD">
        <w:tc>
          <w:tcPr>
            <w:tcW w:w="7938" w:type="dxa"/>
          </w:tcPr>
          <w:p w:rsidR="00745EBD" w:rsidRPr="003E5C24" w:rsidRDefault="00745EBD" w:rsidP="00704D56">
            <w:pPr>
              <w:spacing w:before="0" w:after="0"/>
              <w:rPr>
                <w:rFonts w:ascii="Arial" w:hAnsi="Arial" w:cs="Arial"/>
                <w:sz w:val="20"/>
              </w:rPr>
            </w:pPr>
            <w:r w:rsidRPr="003E5C24">
              <w:rPr>
                <w:rFonts w:ascii="Arial" w:hAnsi="Arial" w:cs="Arial"/>
                <w:sz w:val="20"/>
              </w:rPr>
              <w:t>Donald G. Perrin</w:t>
            </w:r>
            <w:r w:rsidRPr="003E5C24">
              <w:rPr>
                <w:rFonts w:ascii="Arial" w:hAnsi="Arial" w:cs="Arial"/>
                <w:sz w:val="20"/>
              </w:rPr>
              <w:br/>
            </w:r>
          </w:p>
        </w:tc>
        <w:tc>
          <w:tcPr>
            <w:tcW w:w="918" w:type="dxa"/>
          </w:tcPr>
          <w:p w:rsidR="00745EBD" w:rsidRPr="00807D9E" w:rsidRDefault="00745EBD" w:rsidP="00704D56">
            <w:pPr>
              <w:pStyle w:val="Heading5"/>
              <w:spacing w:before="0" w:after="0"/>
              <w:rPr>
                <w:rFonts w:cs="Arial"/>
              </w:rPr>
            </w:pPr>
          </w:p>
        </w:tc>
      </w:tr>
      <w:tr w:rsidR="008F6FB1" w:rsidRPr="00807D9E" w:rsidTr="00745EBD">
        <w:tc>
          <w:tcPr>
            <w:tcW w:w="7938" w:type="dxa"/>
          </w:tcPr>
          <w:p w:rsidR="008F6FB1" w:rsidRPr="00DD02AF" w:rsidRDefault="00E635E1" w:rsidP="00704D56">
            <w:pPr>
              <w:pStyle w:val="Heading7"/>
              <w:spacing w:before="0" w:after="0"/>
              <w:ind w:left="0" w:hanging="18"/>
              <w:rPr>
                <w:rFonts w:cs="SimSun"/>
              </w:rPr>
            </w:pPr>
            <w:hyperlink w:anchor="_Using_educational_technology" w:history="1">
              <w:r w:rsidR="00DD02AF" w:rsidRPr="00ED535D">
                <w:rPr>
                  <w:rStyle w:val="Hyperlink"/>
                </w:rPr>
                <w:t>Using educational technology for safety training design and evaluation of safety knowledge and skills</w:t>
              </w:r>
            </w:hyperlink>
          </w:p>
        </w:tc>
        <w:tc>
          <w:tcPr>
            <w:tcW w:w="918" w:type="dxa"/>
          </w:tcPr>
          <w:p w:rsidR="008F6FB1" w:rsidRPr="00807D9E" w:rsidRDefault="00DD02AF" w:rsidP="00704D56">
            <w:pPr>
              <w:pStyle w:val="Heading3"/>
              <w:spacing w:before="0" w:after="0"/>
              <w:jc w:val="center"/>
              <w:rPr>
                <w:rFonts w:cs="Arial"/>
              </w:rPr>
            </w:pPr>
            <w:r>
              <w:rPr>
                <w:rFonts w:cs="Arial"/>
              </w:rPr>
              <w:t>3</w:t>
            </w:r>
          </w:p>
        </w:tc>
      </w:tr>
      <w:tr w:rsidR="008F6FB1" w:rsidRPr="003E5C24" w:rsidTr="00745EBD">
        <w:tc>
          <w:tcPr>
            <w:tcW w:w="7938" w:type="dxa"/>
          </w:tcPr>
          <w:p w:rsidR="003E094E" w:rsidRPr="003E5C24" w:rsidRDefault="00DD02AF" w:rsidP="00704D56">
            <w:pPr>
              <w:spacing w:before="0" w:after="0"/>
              <w:rPr>
                <w:rFonts w:ascii="Arial" w:hAnsi="Arial" w:cs="Arial"/>
                <w:sz w:val="20"/>
              </w:rPr>
            </w:pPr>
            <w:r w:rsidRPr="003E5C24">
              <w:rPr>
                <w:rFonts w:ascii="Arial" w:hAnsi="Arial" w:cs="Arial"/>
                <w:sz w:val="20"/>
                <w:lang w:val="en-GB"/>
              </w:rPr>
              <w:t>Zakaria Bani-Salameh</w:t>
            </w:r>
            <w:r w:rsidR="00704D56" w:rsidRPr="003E5C24">
              <w:rPr>
                <w:rFonts w:ascii="Arial" w:hAnsi="Arial" w:cs="Arial"/>
                <w:sz w:val="20"/>
                <w:lang w:val="en-GB"/>
              </w:rPr>
              <w:br/>
            </w:r>
          </w:p>
        </w:tc>
        <w:tc>
          <w:tcPr>
            <w:tcW w:w="918" w:type="dxa"/>
          </w:tcPr>
          <w:p w:rsidR="008F6FB1" w:rsidRPr="003E5C24" w:rsidRDefault="008F6FB1" w:rsidP="00704D56">
            <w:pPr>
              <w:pStyle w:val="Heading5"/>
              <w:spacing w:before="0" w:after="0"/>
              <w:rPr>
                <w:rFonts w:cs="Arial"/>
              </w:rPr>
            </w:pPr>
          </w:p>
        </w:tc>
      </w:tr>
      <w:tr w:rsidR="008F6FB1" w:rsidRPr="00807D9E" w:rsidTr="00745EBD">
        <w:tc>
          <w:tcPr>
            <w:tcW w:w="7938" w:type="dxa"/>
          </w:tcPr>
          <w:p w:rsidR="008F6FB1" w:rsidRPr="00DD02AF" w:rsidRDefault="00E635E1" w:rsidP="00704D56">
            <w:pPr>
              <w:pStyle w:val="Heading7"/>
              <w:spacing w:before="0" w:after="0"/>
              <w:jc w:val="left"/>
              <w:rPr>
                <w:rFonts w:cs="SimSun"/>
              </w:rPr>
            </w:pPr>
            <w:hyperlink w:anchor="_Self-directedness_in_Open" w:history="1">
              <w:r w:rsidR="00DD02AF" w:rsidRPr="00ED535D">
                <w:rPr>
                  <w:rStyle w:val="Hyperlink"/>
                </w:rPr>
                <w:t xml:space="preserve">Self-directedness in </w:t>
              </w:r>
              <w:r w:rsidR="00704D56" w:rsidRPr="00ED535D">
                <w:rPr>
                  <w:rStyle w:val="Hyperlink"/>
                </w:rPr>
                <w:t>o</w:t>
              </w:r>
              <w:r w:rsidR="00DD02AF" w:rsidRPr="00ED535D">
                <w:rPr>
                  <w:rStyle w:val="Hyperlink"/>
                </w:rPr>
                <w:t>pen distance learning: twists and turns</w:t>
              </w:r>
            </w:hyperlink>
          </w:p>
        </w:tc>
        <w:tc>
          <w:tcPr>
            <w:tcW w:w="918" w:type="dxa"/>
          </w:tcPr>
          <w:p w:rsidR="008F6FB1" w:rsidRPr="00807D9E" w:rsidRDefault="003E5C24" w:rsidP="00704D56">
            <w:pPr>
              <w:pStyle w:val="Heading5"/>
              <w:spacing w:before="0" w:after="0"/>
              <w:rPr>
                <w:rFonts w:cs="Arial"/>
              </w:rPr>
            </w:pPr>
            <w:r>
              <w:rPr>
                <w:rFonts w:cs="Arial"/>
              </w:rPr>
              <w:t>23</w:t>
            </w:r>
          </w:p>
        </w:tc>
      </w:tr>
      <w:tr w:rsidR="008F6FB1" w:rsidRPr="003E5C24" w:rsidTr="00745EBD">
        <w:tc>
          <w:tcPr>
            <w:tcW w:w="7938" w:type="dxa"/>
          </w:tcPr>
          <w:p w:rsidR="003E094E" w:rsidRPr="003E5C24" w:rsidRDefault="00DD02AF" w:rsidP="00704D56">
            <w:pPr>
              <w:spacing w:before="0" w:after="0"/>
              <w:rPr>
                <w:rFonts w:ascii="Arial" w:hAnsi="Arial" w:cs="Arial"/>
                <w:sz w:val="20"/>
              </w:rPr>
            </w:pPr>
            <w:r w:rsidRPr="003E5C24">
              <w:rPr>
                <w:rFonts w:ascii="Arial" w:hAnsi="Arial" w:cs="Arial"/>
                <w:sz w:val="20"/>
              </w:rPr>
              <w:t>Bernadette Geduld</w:t>
            </w:r>
            <w:r w:rsidR="00704D56" w:rsidRPr="003E5C24">
              <w:rPr>
                <w:rFonts w:ascii="Arial" w:hAnsi="Arial" w:cs="Arial"/>
                <w:sz w:val="20"/>
              </w:rPr>
              <w:br/>
            </w:r>
          </w:p>
        </w:tc>
        <w:tc>
          <w:tcPr>
            <w:tcW w:w="918" w:type="dxa"/>
          </w:tcPr>
          <w:p w:rsidR="008F6FB1" w:rsidRPr="003E5C24" w:rsidRDefault="008F6FB1" w:rsidP="00704D56">
            <w:pPr>
              <w:pStyle w:val="Heading5"/>
              <w:spacing w:before="0" w:after="0"/>
              <w:rPr>
                <w:rFonts w:cs="Arial"/>
              </w:rPr>
            </w:pPr>
          </w:p>
        </w:tc>
      </w:tr>
      <w:tr w:rsidR="008F6FB1" w:rsidRPr="00807D9E" w:rsidTr="00745EBD">
        <w:tc>
          <w:tcPr>
            <w:tcW w:w="7938" w:type="dxa"/>
          </w:tcPr>
          <w:p w:rsidR="008F6FB1" w:rsidRPr="00704D56" w:rsidRDefault="00E635E1" w:rsidP="00704D56">
            <w:pPr>
              <w:pStyle w:val="Heading7"/>
              <w:spacing w:before="0" w:after="0"/>
              <w:ind w:left="0" w:hanging="18"/>
              <w:jc w:val="left"/>
              <w:rPr>
                <w:sz w:val="28"/>
                <w:szCs w:val="28"/>
              </w:rPr>
            </w:pPr>
            <w:hyperlink w:anchor="_Cost_Analysis_of" w:history="1">
              <w:r w:rsidR="00704D56" w:rsidRPr="00ED535D">
                <w:rPr>
                  <w:rStyle w:val="Hyperlink"/>
                </w:rPr>
                <w:t xml:space="preserve">Cost analysis of web-based distance learning: </w:t>
              </w:r>
              <w:r w:rsidR="00704D56" w:rsidRPr="00ED535D">
                <w:rPr>
                  <w:rStyle w:val="Hyperlink"/>
                </w:rPr>
                <w:br/>
                <w:t>a discounted cash flow analysis</w:t>
              </w:r>
            </w:hyperlink>
          </w:p>
        </w:tc>
        <w:tc>
          <w:tcPr>
            <w:tcW w:w="918" w:type="dxa"/>
          </w:tcPr>
          <w:p w:rsidR="008F6FB1" w:rsidRPr="00807D9E" w:rsidRDefault="00704D56" w:rsidP="003E5C24">
            <w:pPr>
              <w:pStyle w:val="Heading3"/>
              <w:spacing w:before="0" w:after="0"/>
              <w:jc w:val="center"/>
              <w:rPr>
                <w:rFonts w:cs="Arial"/>
              </w:rPr>
            </w:pPr>
            <w:r>
              <w:rPr>
                <w:rFonts w:cs="Arial"/>
              </w:rPr>
              <w:t>3</w:t>
            </w:r>
            <w:r w:rsidR="003E5C24">
              <w:rPr>
                <w:rFonts w:cs="Arial"/>
              </w:rPr>
              <w:t>7</w:t>
            </w:r>
          </w:p>
        </w:tc>
      </w:tr>
      <w:tr w:rsidR="008F6FB1" w:rsidRPr="003E5C24" w:rsidTr="00745EBD">
        <w:tc>
          <w:tcPr>
            <w:tcW w:w="7938" w:type="dxa"/>
          </w:tcPr>
          <w:p w:rsidR="003E094E" w:rsidRPr="003E5C24" w:rsidRDefault="00704D56" w:rsidP="00704D56">
            <w:pPr>
              <w:spacing w:before="0" w:after="0"/>
              <w:rPr>
                <w:rFonts w:ascii="Arial" w:hAnsi="Arial" w:cs="Arial"/>
                <w:sz w:val="20"/>
              </w:rPr>
            </w:pPr>
            <w:r w:rsidRPr="003E5C24">
              <w:rPr>
                <w:rFonts w:ascii="Arial" w:hAnsi="Arial" w:cs="Arial"/>
                <w:sz w:val="20"/>
              </w:rPr>
              <w:t>Chris Garbett</w:t>
            </w:r>
            <w:r w:rsidRPr="003E5C24">
              <w:rPr>
                <w:rFonts w:ascii="Arial" w:hAnsi="Arial" w:cs="Arial"/>
                <w:sz w:val="20"/>
              </w:rPr>
              <w:br/>
            </w:r>
          </w:p>
        </w:tc>
        <w:tc>
          <w:tcPr>
            <w:tcW w:w="918" w:type="dxa"/>
          </w:tcPr>
          <w:p w:rsidR="008F6FB1" w:rsidRPr="003E5C24" w:rsidRDefault="008F6FB1" w:rsidP="00704D56">
            <w:pPr>
              <w:spacing w:before="0" w:after="0"/>
              <w:jc w:val="center"/>
              <w:rPr>
                <w:rFonts w:ascii="Arial" w:hAnsi="Arial" w:cs="Arial"/>
                <w:sz w:val="20"/>
              </w:rPr>
            </w:pPr>
          </w:p>
        </w:tc>
      </w:tr>
      <w:tr w:rsidR="006C0F3A" w:rsidRPr="00807D9E" w:rsidTr="00745EBD">
        <w:tc>
          <w:tcPr>
            <w:tcW w:w="7938" w:type="dxa"/>
          </w:tcPr>
          <w:p w:rsidR="006C0F3A" w:rsidRPr="00704D56" w:rsidRDefault="00E635E1" w:rsidP="00704D56">
            <w:pPr>
              <w:pStyle w:val="Heading7"/>
              <w:spacing w:before="0" w:after="0"/>
              <w:rPr>
                <w:rFonts w:cs="SimSun"/>
              </w:rPr>
            </w:pPr>
            <w:hyperlink w:anchor="_Factors_influencing_the" w:history="1">
              <w:r w:rsidR="00704D56" w:rsidRPr="00ED535D">
                <w:rPr>
                  <w:rStyle w:val="Hyperlink"/>
                </w:rPr>
                <w:t>Factors influencing the adoption of ICT in language teaching</w:t>
              </w:r>
            </w:hyperlink>
          </w:p>
        </w:tc>
        <w:tc>
          <w:tcPr>
            <w:tcW w:w="918" w:type="dxa"/>
          </w:tcPr>
          <w:p w:rsidR="006C0F3A" w:rsidRPr="00807D9E" w:rsidRDefault="003E5C24" w:rsidP="001377E6">
            <w:pPr>
              <w:pStyle w:val="Heading3"/>
              <w:spacing w:before="0" w:after="0"/>
              <w:jc w:val="center"/>
              <w:rPr>
                <w:rFonts w:cs="Arial"/>
              </w:rPr>
            </w:pPr>
            <w:r>
              <w:rPr>
                <w:rFonts w:cs="Arial"/>
              </w:rPr>
              <w:t>5</w:t>
            </w:r>
            <w:r w:rsidR="001377E6">
              <w:rPr>
                <w:rFonts w:cs="Arial"/>
              </w:rPr>
              <w:t>5</w:t>
            </w:r>
          </w:p>
        </w:tc>
      </w:tr>
      <w:tr w:rsidR="006C0F3A" w:rsidRPr="003E5C24" w:rsidTr="00745EBD">
        <w:tc>
          <w:tcPr>
            <w:tcW w:w="7938" w:type="dxa"/>
          </w:tcPr>
          <w:p w:rsidR="006C0F3A" w:rsidRPr="003E5C24" w:rsidRDefault="00704D56" w:rsidP="00704D56">
            <w:pPr>
              <w:spacing w:before="0" w:after="0"/>
              <w:rPr>
                <w:rFonts w:ascii="Arial" w:hAnsi="Arial" w:cs="Arial"/>
                <w:sz w:val="20"/>
              </w:rPr>
            </w:pPr>
            <w:r w:rsidRPr="003E5C24">
              <w:rPr>
                <w:rFonts w:ascii="Arial" w:hAnsi="Arial" w:cs="Arial"/>
                <w:sz w:val="20"/>
              </w:rPr>
              <w:t>Hamzeh Moradi</w:t>
            </w:r>
            <w:r w:rsidRPr="003E5C24">
              <w:rPr>
                <w:rFonts w:ascii="Arial" w:hAnsi="Arial" w:cs="Arial"/>
                <w:sz w:val="20"/>
              </w:rPr>
              <w:br/>
            </w:r>
          </w:p>
        </w:tc>
        <w:tc>
          <w:tcPr>
            <w:tcW w:w="918" w:type="dxa"/>
          </w:tcPr>
          <w:p w:rsidR="006C0F3A" w:rsidRPr="003E5C24" w:rsidRDefault="006C0F3A" w:rsidP="00704D56">
            <w:pPr>
              <w:pStyle w:val="Heading5"/>
              <w:spacing w:before="0" w:after="0"/>
              <w:rPr>
                <w:rFonts w:cs="Arial"/>
              </w:rPr>
            </w:pPr>
          </w:p>
        </w:tc>
      </w:tr>
      <w:tr w:rsidR="006C0F3A" w:rsidRPr="00807D9E" w:rsidTr="00745EBD">
        <w:tc>
          <w:tcPr>
            <w:tcW w:w="7938" w:type="dxa"/>
          </w:tcPr>
          <w:p w:rsidR="001E4628" w:rsidRPr="001E4628" w:rsidRDefault="001E4628" w:rsidP="0018054A">
            <w:pPr>
              <w:pStyle w:val="Heading7"/>
              <w:spacing w:before="0" w:after="0"/>
              <w:ind w:left="0" w:hanging="18"/>
              <w:jc w:val="left"/>
              <w:rPr>
                <w:rFonts w:cs="Arial"/>
              </w:rPr>
            </w:pPr>
          </w:p>
        </w:tc>
        <w:tc>
          <w:tcPr>
            <w:tcW w:w="918" w:type="dxa"/>
          </w:tcPr>
          <w:p w:rsidR="006C0F3A" w:rsidRPr="00807D9E" w:rsidRDefault="006C0F3A" w:rsidP="001377E6">
            <w:pPr>
              <w:pStyle w:val="Heading3"/>
              <w:spacing w:before="0" w:after="0"/>
              <w:jc w:val="center"/>
              <w:rPr>
                <w:rFonts w:cs="Arial"/>
              </w:rPr>
            </w:pPr>
          </w:p>
        </w:tc>
      </w:tr>
      <w:tr w:rsidR="006C0F3A" w:rsidRPr="003E5C24" w:rsidTr="00745EBD">
        <w:tc>
          <w:tcPr>
            <w:tcW w:w="7938" w:type="dxa"/>
          </w:tcPr>
          <w:p w:rsidR="006C0F3A" w:rsidRPr="003E5C24" w:rsidRDefault="006C0F3A" w:rsidP="00704D56">
            <w:pPr>
              <w:spacing w:before="0" w:after="0"/>
              <w:rPr>
                <w:rFonts w:ascii="Arial" w:hAnsi="Arial" w:cs="Arial"/>
                <w:sz w:val="20"/>
              </w:rPr>
            </w:pPr>
          </w:p>
        </w:tc>
        <w:tc>
          <w:tcPr>
            <w:tcW w:w="918" w:type="dxa"/>
          </w:tcPr>
          <w:p w:rsidR="006C0F3A" w:rsidRPr="003E5C24" w:rsidRDefault="006C0F3A" w:rsidP="00704D56">
            <w:pPr>
              <w:spacing w:before="0" w:after="0"/>
              <w:rPr>
                <w:rFonts w:ascii="Arial" w:hAnsi="Arial" w:cs="Arial"/>
                <w:sz w:val="20"/>
              </w:rPr>
            </w:pPr>
          </w:p>
        </w:tc>
      </w:tr>
      <w:tr w:rsidR="006C0F3A" w:rsidRPr="00807D9E" w:rsidTr="00745EBD">
        <w:tc>
          <w:tcPr>
            <w:tcW w:w="7938" w:type="dxa"/>
          </w:tcPr>
          <w:p w:rsidR="006C0F3A" w:rsidRPr="00807D9E" w:rsidRDefault="006C0F3A" w:rsidP="00704D56">
            <w:pPr>
              <w:pStyle w:val="Heading7"/>
              <w:spacing w:before="0" w:after="0"/>
              <w:ind w:left="0" w:firstLine="0"/>
              <w:jc w:val="left"/>
              <w:rPr>
                <w:rFonts w:cs="Arial"/>
              </w:rPr>
            </w:pPr>
          </w:p>
        </w:tc>
        <w:tc>
          <w:tcPr>
            <w:tcW w:w="918" w:type="dxa"/>
          </w:tcPr>
          <w:p w:rsidR="006C0F3A" w:rsidRPr="00807D9E" w:rsidRDefault="006C0F3A" w:rsidP="00704D56">
            <w:pPr>
              <w:pStyle w:val="Heading5"/>
              <w:spacing w:before="0" w:after="0"/>
              <w:rPr>
                <w:rFonts w:cs="Arial"/>
              </w:rPr>
            </w:pPr>
          </w:p>
        </w:tc>
      </w:tr>
      <w:tr w:rsidR="006C0F3A" w:rsidRPr="003E5C24" w:rsidTr="00704D56">
        <w:trPr>
          <w:trHeight w:val="54"/>
        </w:trPr>
        <w:tc>
          <w:tcPr>
            <w:tcW w:w="7938" w:type="dxa"/>
          </w:tcPr>
          <w:p w:rsidR="006C0F3A" w:rsidRPr="003E5C24" w:rsidRDefault="006C0F3A" w:rsidP="00704D56">
            <w:pPr>
              <w:spacing w:before="0" w:after="0"/>
              <w:rPr>
                <w:rFonts w:ascii="Arial" w:hAnsi="Arial" w:cs="Arial"/>
                <w:sz w:val="20"/>
              </w:rPr>
            </w:pPr>
          </w:p>
        </w:tc>
        <w:tc>
          <w:tcPr>
            <w:tcW w:w="918" w:type="dxa"/>
          </w:tcPr>
          <w:p w:rsidR="006C0F3A" w:rsidRPr="003E5C24" w:rsidRDefault="006C0F3A" w:rsidP="00704D56">
            <w:pPr>
              <w:spacing w:before="0" w:after="0"/>
              <w:rPr>
                <w:rFonts w:ascii="Arial" w:hAnsi="Arial" w:cs="Arial"/>
                <w:sz w:val="20"/>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E635E1"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r>
        <w:lastRenderedPageBreak/>
        <w:t>Editorial</w:t>
      </w:r>
    </w:p>
    <w:p w:rsidR="00FF5E24" w:rsidRPr="00040B4C" w:rsidRDefault="00040B4C" w:rsidP="000C7B67">
      <w:pPr>
        <w:pStyle w:val="Heading5"/>
        <w:rPr>
          <w:sz w:val="36"/>
          <w:szCs w:val="36"/>
        </w:rPr>
      </w:pPr>
      <w:bookmarkStart w:id="3" w:name="_Instructional_Design_4:"/>
      <w:bookmarkStart w:id="4" w:name="_From_bound_books"/>
      <w:bookmarkEnd w:id="3"/>
      <w:bookmarkEnd w:id="4"/>
      <w:r w:rsidRPr="00040B4C">
        <w:rPr>
          <w:sz w:val="36"/>
          <w:szCs w:val="36"/>
        </w:rPr>
        <w:t>Scalability</w:t>
      </w:r>
      <w:r w:rsidR="00E635E1">
        <w:rPr>
          <w:sz w:val="36"/>
          <w:szCs w:val="36"/>
        </w:rPr>
        <w:t xml:space="preserve"> and progressive curriculum</w:t>
      </w:r>
    </w:p>
    <w:p w:rsidR="000C7B67" w:rsidRPr="000C7B67" w:rsidRDefault="000C7B67" w:rsidP="000C7B67">
      <w:pPr>
        <w:pStyle w:val="Heading5"/>
      </w:pPr>
      <w:r>
        <w:t>Donald G. Perrin</w:t>
      </w:r>
    </w:p>
    <w:p w:rsidR="00BD7ECA" w:rsidRPr="009655BF" w:rsidRDefault="009655BF" w:rsidP="00937DC1">
      <w:pPr>
        <w:rPr>
          <w:sz w:val="21"/>
          <w:szCs w:val="21"/>
        </w:rPr>
      </w:pPr>
      <w:r>
        <w:br/>
      </w:r>
      <w:r w:rsidR="00040B4C" w:rsidRPr="009655BF">
        <w:rPr>
          <w:sz w:val="21"/>
          <w:szCs w:val="21"/>
        </w:rPr>
        <w:t xml:space="preserve">As theories of teaching and learning change, </w:t>
      </w:r>
      <w:r w:rsidR="00937DC1" w:rsidRPr="009655BF">
        <w:rPr>
          <w:sz w:val="21"/>
          <w:szCs w:val="21"/>
        </w:rPr>
        <w:t>l</w:t>
      </w:r>
      <w:r w:rsidR="00040B4C" w:rsidRPr="009655BF">
        <w:rPr>
          <w:sz w:val="21"/>
          <w:szCs w:val="21"/>
        </w:rPr>
        <w:t xml:space="preserve">earning environments </w:t>
      </w:r>
      <w:r w:rsidR="00E635E1" w:rsidRPr="009655BF">
        <w:rPr>
          <w:sz w:val="21"/>
          <w:szCs w:val="21"/>
        </w:rPr>
        <w:t xml:space="preserve">and curriculum </w:t>
      </w:r>
      <w:r w:rsidR="00040B4C" w:rsidRPr="009655BF">
        <w:rPr>
          <w:sz w:val="21"/>
          <w:szCs w:val="21"/>
        </w:rPr>
        <w:t xml:space="preserve">must also change. The brick-and-mortar university survived for centuries because change was slow or non-existent. </w:t>
      </w:r>
    </w:p>
    <w:p w:rsidR="00937DC1" w:rsidRPr="009655BF" w:rsidRDefault="00937DC1" w:rsidP="006317C9">
      <w:pPr>
        <w:spacing w:after="60"/>
        <w:ind w:left="547" w:right="360"/>
        <w:rPr>
          <w:i/>
          <w:sz w:val="21"/>
          <w:szCs w:val="21"/>
        </w:rPr>
      </w:pPr>
      <w:r w:rsidRPr="009655BF">
        <w:rPr>
          <w:i/>
          <w:sz w:val="21"/>
          <w:szCs w:val="21"/>
        </w:rPr>
        <w:t xml:space="preserve">Universities </w:t>
      </w:r>
      <w:r w:rsidR="00BD7ECA" w:rsidRPr="009655BF">
        <w:rPr>
          <w:i/>
          <w:sz w:val="21"/>
          <w:szCs w:val="21"/>
        </w:rPr>
        <w:t xml:space="preserve">… </w:t>
      </w:r>
      <w:r w:rsidRPr="009655BF">
        <w:rPr>
          <w:i/>
          <w:sz w:val="21"/>
          <w:szCs w:val="21"/>
        </w:rPr>
        <w:t>were organized as they still are, not for inquiry and research into the unknown but for the learning (and teaching) of the known. They are scholarly, not scientific, and if I were to take a degree I must choose my categories and stick to them.</w:t>
      </w:r>
    </w:p>
    <w:p w:rsidR="008C4EBF" w:rsidRPr="009655BF" w:rsidRDefault="00BD7ECA" w:rsidP="000C7B67">
      <w:pPr>
        <w:rPr>
          <w:sz w:val="21"/>
          <w:szCs w:val="21"/>
        </w:rPr>
      </w:pPr>
      <w:r w:rsidRPr="009655BF">
        <w:rPr>
          <w:sz w:val="21"/>
          <w:szCs w:val="21"/>
        </w:rPr>
        <w:t xml:space="preserve">This </w:t>
      </w:r>
      <w:r w:rsidR="00E635E1" w:rsidRPr="009655BF">
        <w:rPr>
          <w:sz w:val="21"/>
          <w:szCs w:val="21"/>
        </w:rPr>
        <w:t>was</w:t>
      </w:r>
      <w:r w:rsidRPr="009655BF">
        <w:rPr>
          <w:sz w:val="21"/>
          <w:szCs w:val="21"/>
        </w:rPr>
        <w:t xml:space="preserve"> Lincoln Steffans </w:t>
      </w:r>
      <w:r w:rsidR="00164719" w:rsidRPr="009655BF">
        <w:rPr>
          <w:i/>
          <w:sz w:val="21"/>
          <w:szCs w:val="21"/>
        </w:rPr>
        <w:t>(1931</w:t>
      </w:r>
      <w:r w:rsidR="00861070" w:rsidRPr="009655BF">
        <w:rPr>
          <w:i/>
          <w:sz w:val="21"/>
          <w:szCs w:val="21"/>
        </w:rPr>
        <w:t>)</w:t>
      </w:r>
      <w:r w:rsidR="00164719" w:rsidRPr="009655BF">
        <w:rPr>
          <w:i/>
          <w:sz w:val="21"/>
          <w:szCs w:val="21"/>
        </w:rPr>
        <w:t xml:space="preserve"> </w:t>
      </w:r>
      <w:r w:rsidRPr="009655BF">
        <w:rPr>
          <w:sz w:val="21"/>
          <w:szCs w:val="21"/>
        </w:rPr>
        <w:t>descri</w:t>
      </w:r>
      <w:r w:rsidR="00E635E1" w:rsidRPr="009655BF">
        <w:rPr>
          <w:sz w:val="21"/>
          <w:szCs w:val="21"/>
        </w:rPr>
        <w:t>tion of</w:t>
      </w:r>
      <w:r w:rsidRPr="009655BF">
        <w:rPr>
          <w:sz w:val="21"/>
          <w:szCs w:val="21"/>
        </w:rPr>
        <w:t xml:space="preserve"> universities in the late 1800</w:t>
      </w:r>
      <w:r w:rsidR="00270F60" w:rsidRPr="009655BF">
        <w:rPr>
          <w:sz w:val="21"/>
          <w:szCs w:val="21"/>
        </w:rPr>
        <w:t>s</w:t>
      </w:r>
      <w:r w:rsidRPr="009655BF">
        <w:rPr>
          <w:sz w:val="21"/>
          <w:szCs w:val="21"/>
        </w:rPr>
        <w:t xml:space="preserve">. </w:t>
      </w:r>
      <w:r w:rsidR="00270F60" w:rsidRPr="009655BF">
        <w:rPr>
          <w:sz w:val="21"/>
          <w:szCs w:val="21"/>
        </w:rPr>
        <w:t>T</w:t>
      </w:r>
      <w:r w:rsidRPr="009655BF">
        <w:rPr>
          <w:sz w:val="21"/>
          <w:szCs w:val="21"/>
        </w:rPr>
        <w:t xml:space="preserve">oday, most </w:t>
      </w:r>
      <w:r w:rsidR="00270F60" w:rsidRPr="009655BF">
        <w:rPr>
          <w:sz w:val="21"/>
          <w:szCs w:val="21"/>
        </w:rPr>
        <w:t xml:space="preserve">university </w:t>
      </w:r>
      <w:r w:rsidR="00E635E1" w:rsidRPr="009655BF">
        <w:rPr>
          <w:sz w:val="21"/>
          <w:szCs w:val="21"/>
        </w:rPr>
        <w:t>teaching is through lectures</w:t>
      </w:r>
      <w:r w:rsidRPr="009655BF">
        <w:rPr>
          <w:sz w:val="21"/>
          <w:szCs w:val="21"/>
        </w:rPr>
        <w:t xml:space="preserve">. </w:t>
      </w:r>
      <w:r w:rsidR="005C4511" w:rsidRPr="009655BF">
        <w:rPr>
          <w:sz w:val="21"/>
          <w:szCs w:val="21"/>
        </w:rPr>
        <w:t>T</w:t>
      </w:r>
      <w:r w:rsidR="005E19B6" w:rsidRPr="009655BF">
        <w:rPr>
          <w:sz w:val="21"/>
          <w:szCs w:val="21"/>
        </w:rPr>
        <w:t xml:space="preserve">echnological advances in communication </w:t>
      </w:r>
      <w:r w:rsidR="005C4511" w:rsidRPr="009655BF">
        <w:rPr>
          <w:sz w:val="21"/>
          <w:szCs w:val="21"/>
        </w:rPr>
        <w:t xml:space="preserve">often </w:t>
      </w:r>
      <w:r w:rsidR="005E19B6" w:rsidRPr="009655BF">
        <w:rPr>
          <w:sz w:val="21"/>
          <w:szCs w:val="21"/>
        </w:rPr>
        <w:t xml:space="preserve">emulate </w:t>
      </w:r>
      <w:r w:rsidR="00164719" w:rsidRPr="009655BF">
        <w:rPr>
          <w:sz w:val="21"/>
          <w:szCs w:val="21"/>
        </w:rPr>
        <w:t xml:space="preserve">traditional and behavioristic </w:t>
      </w:r>
      <w:r w:rsidR="005E19B6" w:rsidRPr="009655BF">
        <w:rPr>
          <w:sz w:val="21"/>
          <w:szCs w:val="21"/>
        </w:rPr>
        <w:t>model</w:t>
      </w:r>
      <w:r w:rsidR="00164719" w:rsidRPr="009655BF">
        <w:rPr>
          <w:sz w:val="21"/>
          <w:szCs w:val="21"/>
        </w:rPr>
        <w:t>s</w:t>
      </w:r>
      <w:r w:rsidR="005E19B6" w:rsidRPr="009655BF">
        <w:rPr>
          <w:sz w:val="21"/>
          <w:szCs w:val="21"/>
        </w:rPr>
        <w:t xml:space="preserve"> of instruction </w:t>
      </w:r>
      <w:r w:rsidR="00E635E1" w:rsidRPr="009655BF">
        <w:rPr>
          <w:sz w:val="21"/>
          <w:szCs w:val="21"/>
        </w:rPr>
        <w:t>and</w:t>
      </w:r>
      <w:r w:rsidR="00164719" w:rsidRPr="009655BF">
        <w:rPr>
          <w:sz w:val="21"/>
          <w:szCs w:val="21"/>
        </w:rPr>
        <w:t xml:space="preserve"> opportunities for</w:t>
      </w:r>
      <w:r w:rsidR="005E19B6" w:rsidRPr="009655BF">
        <w:rPr>
          <w:sz w:val="21"/>
          <w:szCs w:val="21"/>
        </w:rPr>
        <w:t xml:space="preserve"> </w:t>
      </w:r>
      <w:r w:rsidR="005C4511" w:rsidRPr="009655BF">
        <w:rPr>
          <w:sz w:val="21"/>
          <w:szCs w:val="21"/>
        </w:rPr>
        <w:t xml:space="preserve">constructivist </w:t>
      </w:r>
      <w:r w:rsidR="00164719" w:rsidRPr="009655BF">
        <w:rPr>
          <w:sz w:val="21"/>
          <w:szCs w:val="21"/>
        </w:rPr>
        <w:t xml:space="preserve">exploration and </w:t>
      </w:r>
      <w:r w:rsidR="005E19B6" w:rsidRPr="009655BF">
        <w:rPr>
          <w:sz w:val="21"/>
          <w:szCs w:val="21"/>
        </w:rPr>
        <w:t xml:space="preserve">interaction </w:t>
      </w:r>
      <w:r w:rsidR="00E635E1" w:rsidRPr="009655BF">
        <w:rPr>
          <w:sz w:val="21"/>
          <w:szCs w:val="21"/>
        </w:rPr>
        <w:t>are</w:t>
      </w:r>
      <w:r w:rsidR="00164719" w:rsidRPr="009655BF">
        <w:rPr>
          <w:sz w:val="21"/>
          <w:szCs w:val="21"/>
        </w:rPr>
        <w:t xml:space="preserve"> largely ignored</w:t>
      </w:r>
      <w:r w:rsidR="005E19B6" w:rsidRPr="009655BF">
        <w:rPr>
          <w:sz w:val="21"/>
          <w:szCs w:val="21"/>
        </w:rPr>
        <w:t xml:space="preserve">. </w:t>
      </w:r>
      <w:r w:rsidR="00E635E1" w:rsidRPr="009655BF">
        <w:rPr>
          <w:sz w:val="21"/>
          <w:szCs w:val="21"/>
        </w:rPr>
        <w:t>L</w:t>
      </w:r>
      <w:r w:rsidR="005C4511" w:rsidRPr="009655BF">
        <w:rPr>
          <w:sz w:val="21"/>
          <w:szCs w:val="21"/>
        </w:rPr>
        <w:t xml:space="preserve">ectures are primarily one-way communication </w:t>
      </w:r>
      <w:r w:rsidRPr="009655BF">
        <w:rPr>
          <w:sz w:val="21"/>
          <w:szCs w:val="21"/>
        </w:rPr>
        <w:t>that</w:t>
      </w:r>
      <w:r w:rsidR="005C4511" w:rsidRPr="009655BF">
        <w:rPr>
          <w:sz w:val="21"/>
          <w:szCs w:val="21"/>
        </w:rPr>
        <w:t xml:space="preserve"> can be recorded and re-used. </w:t>
      </w:r>
      <w:r w:rsidR="005E19B6" w:rsidRPr="009655BF">
        <w:rPr>
          <w:sz w:val="21"/>
          <w:szCs w:val="21"/>
        </w:rPr>
        <w:t xml:space="preserve">“Flip courses” </w:t>
      </w:r>
      <w:r w:rsidR="005C4511" w:rsidRPr="009655BF">
        <w:rPr>
          <w:sz w:val="21"/>
          <w:szCs w:val="21"/>
        </w:rPr>
        <w:t xml:space="preserve">use </w:t>
      </w:r>
      <w:r w:rsidR="00E635E1" w:rsidRPr="009655BF">
        <w:rPr>
          <w:sz w:val="21"/>
          <w:szCs w:val="21"/>
        </w:rPr>
        <w:t>recorded</w:t>
      </w:r>
      <w:r w:rsidR="005C4511" w:rsidRPr="009655BF">
        <w:rPr>
          <w:sz w:val="21"/>
          <w:szCs w:val="21"/>
        </w:rPr>
        <w:t xml:space="preserve"> lecture</w:t>
      </w:r>
      <w:r w:rsidR="00E635E1" w:rsidRPr="009655BF">
        <w:rPr>
          <w:sz w:val="21"/>
          <w:szCs w:val="21"/>
        </w:rPr>
        <w:t>-presentations</w:t>
      </w:r>
      <w:r w:rsidR="005C4511" w:rsidRPr="009655BF">
        <w:rPr>
          <w:sz w:val="21"/>
          <w:szCs w:val="21"/>
        </w:rPr>
        <w:t xml:space="preserve"> for homework so class</w:t>
      </w:r>
      <w:r w:rsidR="00270F60" w:rsidRPr="009655BF">
        <w:rPr>
          <w:sz w:val="21"/>
          <w:szCs w:val="21"/>
        </w:rPr>
        <w:t xml:space="preserve"> </w:t>
      </w:r>
      <w:r w:rsidR="005C4511" w:rsidRPr="009655BF">
        <w:rPr>
          <w:sz w:val="21"/>
          <w:szCs w:val="21"/>
        </w:rPr>
        <w:t xml:space="preserve">time can be used for </w:t>
      </w:r>
      <w:r w:rsidR="00E635E1" w:rsidRPr="009655BF">
        <w:rPr>
          <w:sz w:val="21"/>
          <w:szCs w:val="21"/>
        </w:rPr>
        <w:t xml:space="preserve">problem solving, </w:t>
      </w:r>
      <w:r w:rsidR="00270F60" w:rsidRPr="009655BF">
        <w:rPr>
          <w:sz w:val="21"/>
          <w:szCs w:val="21"/>
        </w:rPr>
        <w:t>dialog</w:t>
      </w:r>
      <w:r w:rsidR="00861070" w:rsidRPr="009655BF">
        <w:rPr>
          <w:sz w:val="21"/>
          <w:szCs w:val="21"/>
        </w:rPr>
        <w:t xml:space="preserve"> and</w:t>
      </w:r>
      <w:r w:rsidR="00270F60" w:rsidRPr="009655BF">
        <w:rPr>
          <w:sz w:val="21"/>
          <w:szCs w:val="21"/>
        </w:rPr>
        <w:t xml:space="preserve"> </w:t>
      </w:r>
      <w:r w:rsidR="005C4511" w:rsidRPr="009655BF">
        <w:rPr>
          <w:sz w:val="21"/>
          <w:szCs w:val="21"/>
        </w:rPr>
        <w:t>group activities.</w:t>
      </w:r>
      <w:r w:rsidR="005E19B6" w:rsidRPr="009655BF">
        <w:rPr>
          <w:sz w:val="21"/>
          <w:szCs w:val="21"/>
        </w:rPr>
        <w:t xml:space="preserve"> </w:t>
      </w:r>
      <w:r w:rsidR="00E635E1" w:rsidRPr="009655BF">
        <w:rPr>
          <w:sz w:val="21"/>
          <w:szCs w:val="21"/>
        </w:rPr>
        <w:t>This i</w:t>
      </w:r>
      <w:r w:rsidR="005C4511" w:rsidRPr="009655BF">
        <w:rPr>
          <w:sz w:val="21"/>
          <w:szCs w:val="21"/>
        </w:rPr>
        <w:t>nitially involve</w:t>
      </w:r>
      <w:r w:rsidR="00270F60" w:rsidRPr="009655BF">
        <w:rPr>
          <w:sz w:val="21"/>
          <w:szCs w:val="21"/>
        </w:rPr>
        <w:t>s</w:t>
      </w:r>
      <w:r w:rsidR="005C4511" w:rsidRPr="009655BF">
        <w:rPr>
          <w:sz w:val="21"/>
          <w:szCs w:val="21"/>
        </w:rPr>
        <w:t xml:space="preserve"> more work for the instructor</w:t>
      </w:r>
      <w:r w:rsidRPr="009655BF">
        <w:rPr>
          <w:sz w:val="21"/>
          <w:szCs w:val="21"/>
        </w:rPr>
        <w:t xml:space="preserve"> </w:t>
      </w:r>
      <w:r w:rsidR="00270F60" w:rsidRPr="009655BF">
        <w:rPr>
          <w:sz w:val="21"/>
          <w:szCs w:val="21"/>
        </w:rPr>
        <w:t>but increases the quality of learning. It also signals</w:t>
      </w:r>
      <w:r w:rsidRPr="009655BF">
        <w:rPr>
          <w:sz w:val="21"/>
          <w:szCs w:val="21"/>
        </w:rPr>
        <w:t xml:space="preserve"> a change in </w:t>
      </w:r>
      <w:r w:rsidR="00270F60" w:rsidRPr="009655BF">
        <w:rPr>
          <w:sz w:val="21"/>
          <w:szCs w:val="21"/>
        </w:rPr>
        <w:t>the instructor role</w:t>
      </w:r>
      <w:r w:rsidRPr="009655BF">
        <w:rPr>
          <w:sz w:val="21"/>
          <w:szCs w:val="21"/>
        </w:rPr>
        <w:t xml:space="preserve"> from delivery to management of learning</w:t>
      </w:r>
      <w:r w:rsidR="00270F60" w:rsidRPr="009655BF">
        <w:rPr>
          <w:sz w:val="21"/>
          <w:szCs w:val="21"/>
        </w:rPr>
        <w:t>.</w:t>
      </w:r>
    </w:p>
    <w:p w:rsidR="00BE4721" w:rsidRPr="009655BF" w:rsidRDefault="00270F60" w:rsidP="000C7B67">
      <w:pPr>
        <w:rPr>
          <w:sz w:val="21"/>
          <w:szCs w:val="21"/>
        </w:rPr>
      </w:pPr>
      <w:r w:rsidRPr="009655BF">
        <w:rPr>
          <w:sz w:val="21"/>
          <w:szCs w:val="21"/>
        </w:rPr>
        <w:t xml:space="preserve">In the second half of the twentieth century, </w:t>
      </w:r>
      <w:r w:rsidR="006F5016" w:rsidRPr="009655BF">
        <w:rPr>
          <w:sz w:val="21"/>
          <w:szCs w:val="21"/>
        </w:rPr>
        <w:t xml:space="preserve">television, </w:t>
      </w:r>
      <w:r w:rsidRPr="009655BF">
        <w:rPr>
          <w:sz w:val="21"/>
          <w:szCs w:val="21"/>
        </w:rPr>
        <w:t xml:space="preserve">computers, interactive multimedia, hyperlinks and the world-wide-web opened a new era for teaching and learning. </w:t>
      </w:r>
      <w:r w:rsidR="00BE4721" w:rsidRPr="009655BF">
        <w:rPr>
          <w:sz w:val="21"/>
          <w:szCs w:val="21"/>
        </w:rPr>
        <w:t xml:space="preserve">Research funded by the Ford Foundation explored </w:t>
      </w:r>
      <w:r w:rsidR="00164719" w:rsidRPr="009655BF">
        <w:rPr>
          <w:sz w:val="21"/>
          <w:szCs w:val="21"/>
        </w:rPr>
        <w:t xml:space="preserve">teaching by </w:t>
      </w:r>
      <w:r w:rsidR="00BE4721" w:rsidRPr="009655BF">
        <w:rPr>
          <w:sz w:val="21"/>
          <w:szCs w:val="21"/>
        </w:rPr>
        <w:t xml:space="preserve">television to multiple classrooms. Options for two-way communication were available </w:t>
      </w:r>
      <w:r w:rsidR="00861070" w:rsidRPr="009655BF">
        <w:rPr>
          <w:sz w:val="21"/>
          <w:szCs w:val="21"/>
        </w:rPr>
        <w:t>on</w:t>
      </w:r>
      <w:r w:rsidR="00BE4721" w:rsidRPr="009655BF">
        <w:rPr>
          <w:sz w:val="21"/>
          <w:szCs w:val="21"/>
        </w:rPr>
        <w:t xml:space="preserve"> satellite and ground based </w:t>
      </w:r>
      <w:r w:rsidR="00E635E1" w:rsidRPr="009655BF">
        <w:rPr>
          <w:sz w:val="21"/>
          <w:szCs w:val="21"/>
        </w:rPr>
        <w:t xml:space="preserve">broadcast </w:t>
      </w:r>
      <w:r w:rsidR="00BE4721" w:rsidRPr="009655BF">
        <w:rPr>
          <w:sz w:val="21"/>
          <w:szCs w:val="21"/>
        </w:rPr>
        <w:t xml:space="preserve">systems such as Instructional Television Fixed Service and </w:t>
      </w:r>
      <w:r w:rsidR="00E635E1" w:rsidRPr="009655BF">
        <w:rPr>
          <w:sz w:val="21"/>
          <w:szCs w:val="21"/>
        </w:rPr>
        <w:t>I</w:t>
      </w:r>
      <w:r w:rsidR="00BE4721" w:rsidRPr="009655BF">
        <w:rPr>
          <w:sz w:val="21"/>
          <w:szCs w:val="21"/>
        </w:rPr>
        <w:t xml:space="preserve">nteractive </w:t>
      </w:r>
      <w:r w:rsidR="00E635E1" w:rsidRPr="009655BF">
        <w:rPr>
          <w:sz w:val="21"/>
          <w:szCs w:val="21"/>
        </w:rPr>
        <w:t>V</w:t>
      </w:r>
      <w:r w:rsidR="00BE4721" w:rsidRPr="009655BF">
        <w:rPr>
          <w:sz w:val="21"/>
          <w:szCs w:val="21"/>
        </w:rPr>
        <w:t>ideo. Most television option</w:t>
      </w:r>
      <w:r w:rsidR="00861070" w:rsidRPr="009655BF">
        <w:rPr>
          <w:sz w:val="21"/>
          <w:szCs w:val="21"/>
        </w:rPr>
        <w:t>s</w:t>
      </w:r>
      <w:r w:rsidR="00BE4721" w:rsidRPr="009655BF">
        <w:rPr>
          <w:sz w:val="21"/>
          <w:szCs w:val="21"/>
        </w:rPr>
        <w:t xml:space="preserve"> were ultimately replaced by inexpensive alternatives on the world-wide-web.</w:t>
      </w:r>
    </w:p>
    <w:p w:rsidR="00270F60" w:rsidRPr="009655BF" w:rsidRDefault="00270F60" w:rsidP="000C7B67">
      <w:pPr>
        <w:rPr>
          <w:sz w:val="21"/>
          <w:szCs w:val="21"/>
        </w:rPr>
      </w:pPr>
      <w:r w:rsidRPr="009655BF">
        <w:rPr>
          <w:sz w:val="21"/>
          <w:szCs w:val="21"/>
        </w:rPr>
        <w:t xml:space="preserve">Learning </w:t>
      </w:r>
      <w:r w:rsidR="006F5016" w:rsidRPr="009655BF">
        <w:rPr>
          <w:sz w:val="21"/>
          <w:szCs w:val="21"/>
        </w:rPr>
        <w:t>M</w:t>
      </w:r>
      <w:r w:rsidRPr="009655BF">
        <w:rPr>
          <w:sz w:val="21"/>
          <w:szCs w:val="21"/>
        </w:rPr>
        <w:t xml:space="preserve">anagement </w:t>
      </w:r>
      <w:r w:rsidR="006F5016" w:rsidRPr="009655BF">
        <w:rPr>
          <w:sz w:val="21"/>
          <w:szCs w:val="21"/>
        </w:rPr>
        <w:t>S</w:t>
      </w:r>
      <w:r w:rsidRPr="009655BF">
        <w:rPr>
          <w:sz w:val="21"/>
          <w:szCs w:val="21"/>
        </w:rPr>
        <w:t>ystems automated enrollment, instruction, evaluation and record keeping.</w:t>
      </w:r>
      <w:r w:rsidR="006F5016" w:rsidRPr="009655BF">
        <w:rPr>
          <w:sz w:val="21"/>
          <w:szCs w:val="21"/>
        </w:rPr>
        <w:t xml:space="preserve"> </w:t>
      </w:r>
      <w:r w:rsidR="00E635E1" w:rsidRPr="009655BF">
        <w:rPr>
          <w:sz w:val="21"/>
          <w:szCs w:val="21"/>
        </w:rPr>
        <w:t xml:space="preserve">This enabled </w:t>
      </w:r>
      <w:r w:rsidR="006F5016" w:rsidRPr="009655BF">
        <w:rPr>
          <w:sz w:val="21"/>
          <w:szCs w:val="21"/>
        </w:rPr>
        <w:t xml:space="preserve">Open </w:t>
      </w:r>
      <w:r w:rsidR="00E635E1" w:rsidRPr="009655BF">
        <w:rPr>
          <w:sz w:val="21"/>
          <w:szCs w:val="21"/>
        </w:rPr>
        <w:t>U</w:t>
      </w:r>
      <w:r w:rsidR="006F5016" w:rsidRPr="009655BF">
        <w:rPr>
          <w:sz w:val="21"/>
          <w:szCs w:val="21"/>
        </w:rPr>
        <w:t xml:space="preserve">niversities </w:t>
      </w:r>
      <w:r w:rsidR="00E635E1" w:rsidRPr="009655BF">
        <w:rPr>
          <w:sz w:val="21"/>
          <w:szCs w:val="21"/>
        </w:rPr>
        <w:t>using</w:t>
      </w:r>
      <w:r w:rsidR="006F5016" w:rsidRPr="009655BF">
        <w:rPr>
          <w:sz w:val="21"/>
          <w:szCs w:val="21"/>
        </w:rPr>
        <w:t xml:space="preserve"> distance learning </w:t>
      </w:r>
      <w:r w:rsidR="00E635E1" w:rsidRPr="009655BF">
        <w:rPr>
          <w:sz w:val="21"/>
          <w:szCs w:val="21"/>
        </w:rPr>
        <w:t>to become</w:t>
      </w:r>
      <w:r w:rsidR="006F5016" w:rsidRPr="009655BF">
        <w:rPr>
          <w:sz w:val="21"/>
          <w:szCs w:val="21"/>
        </w:rPr>
        <w:t xml:space="preserve"> super-universities with enrollments of </w:t>
      </w:r>
      <w:r w:rsidR="00E635E1" w:rsidRPr="009655BF">
        <w:rPr>
          <w:sz w:val="21"/>
          <w:szCs w:val="21"/>
        </w:rPr>
        <w:t>the order of</w:t>
      </w:r>
      <w:r w:rsidR="006F5016" w:rsidRPr="009655BF">
        <w:rPr>
          <w:sz w:val="21"/>
          <w:szCs w:val="21"/>
        </w:rPr>
        <w:t xml:space="preserve"> a million students. </w:t>
      </w:r>
      <w:r w:rsidR="00861070" w:rsidRPr="009655BF">
        <w:rPr>
          <w:sz w:val="21"/>
          <w:szCs w:val="21"/>
        </w:rPr>
        <w:t>Quality was enhanced</w:t>
      </w:r>
      <w:r w:rsidR="006F5016" w:rsidRPr="009655BF">
        <w:rPr>
          <w:sz w:val="21"/>
          <w:szCs w:val="21"/>
        </w:rPr>
        <w:t xml:space="preserve"> by instructional design and </w:t>
      </w:r>
      <w:r w:rsidR="00861070" w:rsidRPr="009655BF">
        <w:rPr>
          <w:sz w:val="21"/>
          <w:szCs w:val="21"/>
        </w:rPr>
        <w:t>professional</w:t>
      </w:r>
      <w:r w:rsidR="00E635E1" w:rsidRPr="009655BF">
        <w:rPr>
          <w:sz w:val="21"/>
          <w:szCs w:val="21"/>
        </w:rPr>
        <w:t xml:space="preserve">ly </w:t>
      </w:r>
      <w:r w:rsidR="00861070" w:rsidRPr="009655BF">
        <w:rPr>
          <w:sz w:val="21"/>
          <w:szCs w:val="21"/>
        </w:rPr>
        <w:t>produc</w:t>
      </w:r>
      <w:r w:rsidR="00E635E1" w:rsidRPr="009655BF">
        <w:rPr>
          <w:sz w:val="21"/>
          <w:szCs w:val="21"/>
        </w:rPr>
        <w:t>ed media</w:t>
      </w:r>
      <w:r w:rsidR="006F5016" w:rsidRPr="009655BF">
        <w:rPr>
          <w:sz w:val="21"/>
          <w:szCs w:val="21"/>
        </w:rPr>
        <w:t xml:space="preserve">. The British Open University </w:t>
      </w:r>
      <w:r w:rsidR="00BE4721" w:rsidRPr="009655BF">
        <w:rPr>
          <w:sz w:val="21"/>
          <w:szCs w:val="21"/>
        </w:rPr>
        <w:t>used</w:t>
      </w:r>
      <w:r w:rsidR="006F5016" w:rsidRPr="009655BF">
        <w:rPr>
          <w:sz w:val="21"/>
          <w:szCs w:val="21"/>
        </w:rPr>
        <w:t xml:space="preserve"> high</w:t>
      </w:r>
      <w:r w:rsidR="00BE4721" w:rsidRPr="009655BF">
        <w:rPr>
          <w:sz w:val="21"/>
          <w:szCs w:val="21"/>
        </w:rPr>
        <w:t>-</w:t>
      </w:r>
      <w:r w:rsidR="006F5016" w:rsidRPr="009655BF">
        <w:rPr>
          <w:sz w:val="21"/>
          <w:szCs w:val="21"/>
        </w:rPr>
        <w:t>quality instructional videos produced by the BBC. R</w:t>
      </w:r>
      <w:r w:rsidR="00BE4721" w:rsidRPr="009655BF">
        <w:rPr>
          <w:sz w:val="21"/>
          <w:szCs w:val="21"/>
        </w:rPr>
        <w:t>io</w:t>
      </w:r>
      <w:r w:rsidR="006F5016" w:rsidRPr="009655BF">
        <w:rPr>
          <w:sz w:val="21"/>
          <w:szCs w:val="21"/>
        </w:rPr>
        <w:t xml:space="preserve"> Salado Community College </w:t>
      </w:r>
      <w:r w:rsidR="00BE4721" w:rsidRPr="009655BF">
        <w:rPr>
          <w:sz w:val="21"/>
          <w:szCs w:val="21"/>
        </w:rPr>
        <w:t xml:space="preserve">in Arizona </w:t>
      </w:r>
      <w:r w:rsidR="006F5016" w:rsidRPr="009655BF">
        <w:rPr>
          <w:sz w:val="21"/>
          <w:szCs w:val="21"/>
        </w:rPr>
        <w:t xml:space="preserve">set up its </w:t>
      </w:r>
      <w:r w:rsidR="009655BF" w:rsidRPr="009655BF">
        <w:rPr>
          <w:sz w:val="21"/>
          <w:szCs w:val="21"/>
        </w:rPr>
        <w:t xml:space="preserve">own </w:t>
      </w:r>
      <w:r w:rsidR="006F5016" w:rsidRPr="009655BF">
        <w:rPr>
          <w:sz w:val="21"/>
          <w:szCs w:val="21"/>
        </w:rPr>
        <w:t>production facilities</w:t>
      </w:r>
      <w:r w:rsidR="00BE4721" w:rsidRPr="009655BF">
        <w:rPr>
          <w:sz w:val="21"/>
          <w:szCs w:val="21"/>
        </w:rPr>
        <w:t>.</w:t>
      </w:r>
    </w:p>
    <w:p w:rsidR="008C4EBF" w:rsidRPr="009655BF" w:rsidRDefault="00BE4721" w:rsidP="000C7B67">
      <w:pPr>
        <w:rPr>
          <w:sz w:val="21"/>
          <w:szCs w:val="21"/>
        </w:rPr>
      </w:pPr>
      <w:r w:rsidRPr="009655BF">
        <w:rPr>
          <w:sz w:val="21"/>
          <w:szCs w:val="21"/>
        </w:rPr>
        <w:t xml:space="preserve">The computer solved many problems </w:t>
      </w:r>
      <w:r w:rsidR="00861070" w:rsidRPr="009655BF">
        <w:rPr>
          <w:sz w:val="21"/>
          <w:szCs w:val="21"/>
        </w:rPr>
        <w:t>inherent in older technologies</w:t>
      </w:r>
      <w:r w:rsidR="004F6F34" w:rsidRPr="009655BF">
        <w:rPr>
          <w:sz w:val="21"/>
          <w:szCs w:val="21"/>
        </w:rPr>
        <w:t xml:space="preserve">. </w:t>
      </w:r>
      <w:r w:rsidR="009655BF" w:rsidRPr="009655BF">
        <w:rPr>
          <w:sz w:val="21"/>
          <w:szCs w:val="21"/>
        </w:rPr>
        <w:t>Fast and i</w:t>
      </w:r>
      <w:r w:rsidR="004F6F34" w:rsidRPr="009655BF">
        <w:rPr>
          <w:sz w:val="21"/>
          <w:szCs w:val="21"/>
        </w:rPr>
        <w:t>nexpensive production made pretesting affordable. Lessons delivered live</w:t>
      </w:r>
      <w:r w:rsidR="00861070" w:rsidRPr="009655BF">
        <w:rPr>
          <w:sz w:val="21"/>
          <w:szCs w:val="21"/>
        </w:rPr>
        <w:t>,</w:t>
      </w:r>
      <w:r w:rsidR="004F6F34" w:rsidRPr="009655BF">
        <w:rPr>
          <w:sz w:val="21"/>
          <w:szCs w:val="21"/>
        </w:rPr>
        <w:t xml:space="preserve"> in real time</w:t>
      </w:r>
      <w:r w:rsidR="00861070" w:rsidRPr="009655BF">
        <w:rPr>
          <w:sz w:val="21"/>
          <w:szCs w:val="21"/>
        </w:rPr>
        <w:t>,</w:t>
      </w:r>
      <w:r w:rsidR="004F6F34" w:rsidRPr="009655BF">
        <w:rPr>
          <w:sz w:val="21"/>
          <w:szCs w:val="21"/>
        </w:rPr>
        <w:t xml:space="preserve"> could be recorded and edited. </w:t>
      </w:r>
      <w:r w:rsidR="00861070" w:rsidRPr="009655BF">
        <w:rPr>
          <w:sz w:val="21"/>
          <w:szCs w:val="21"/>
        </w:rPr>
        <w:t>Digitally recorded</w:t>
      </w:r>
      <w:r w:rsidR="009655BF" w:rsidRPr="009655BF">
        <w:rPr>
          <w:sz w:val="21"/>
          <w:szCs w:val="21"/>
        </w:rPr>
        <w:t xml:space="preserve"> l</w:t>
      </w:r>
      <w:r w:rsidR="004F6F34" w:rsidRPr="009655BF">
        <w:rPr>
          <w:sz w:val="21"/>
          <w:szCs w:val="21"/>
        </w:rPr>
        <w:t>essons were easy to update and the most up-to-date version could be accessed anywhere and at any time</w:t>
      </w:r>
      <w:r w:rsidR="00861070" w:rsidRPr="009655BF">
        <w:rPr>
          <w:sz w:val="21"/>
          <w:szCs w:val="21"/>
        </w:rPr>
        <w:t xml:space="preserve"> across the Internet</w:t>
      </w:r>
      <w:r w:rsidR="004F6F34" w:rsidRPr="009655BF">
        <w:rPr>
          <w:sz w:val="21"/>
          <w:szCs w:val="21"/>
        </w:rPr>
        <w:t xml:space="preserve">. Once </w:t>
      </w:r>
      <w:r w:rsidR="00861070" w:rsidRPr="009655BF">
        <w:rPr>
          <w:sz w:val="21"/>
          <w:szCs w:val="21"/>
        </w:rPr>
        <w:t xml:space="preserve">learning </w:t>
      </w:r>
      <w:r w:rsidR="004F6F34" w:rsidRPr="009655BF">
        <w:rPr>
          <w:sz w:val="21"/>
          <w:szCs w:val="21"/>
        </w:rPr>
        <w:t>materials were generated</w:t>
      </w:r>
      <w:r w:rsidR="00861070" w:rsidRPr="009655BF">
        <w:rPr>
          <w:sz w:val="21"/>
          <w:szCs w:val="21"/>
        </w:rPr>
        <w:t>, evaluation data could be used for</w:t>
      </w:r>
      <w:r w:rsidR="004F6F34" w:rsidRPr="009655BF">
        <w:rPr>
          <w:sz w:val="21"/>
          <w:szCs w:val="21"/>
        </w:rPr>
        <w:t xml:space="preserve"> continuous quality improvement.</w:t>
      </w:r>
    </w:p>
    <w:p w:rsidR="008C4EBF" w:rsidRPr="009655BF" w:rsidRDefault="004F6F34" w:rsidP="000C7B67">
      <w:pPr>
        <w:rPr>
          <w:sz w:val="21"/>
          <w:szCs w:val="21"/>
        </w:rPr>
      </w:pPr>
      <w:r w:rsidRPr="009655BF">
        <w:rPr>
          <w:sz w:val="21"/>
          <w:szCs w:val="21"/>
        </w:rPr>
        <w:t>In the late 1990s</w:t>
      </w:r>
      <w:r w:rsidR="0057694A" w:rsidRPr="009655BF">
        <w:rPr>
          <w:sz w:val="21"/>
          <w:szCs w:val="21"/>
        </w:rPr>
        <w:t>,</w:t>
      </w:r>
      <w:r w:rsidRPr="009655BF">
        <w:rPr>
          <w:sz w:val="21"/>
          <w:szCs w:val="21"/>
        </w:rPr>
        <w:t xml:space="preserve"> the California State Universities were impacted and needed to build one new campus every month to keep up with the demand. There was neither budget nor time for such a building program, so </w:t>
      </w:r>
      <w:r w:rsidR="0057694A" w:rsidRPr="009655BF">
        <w:rPr>
          <w:sz w:val="21"/>
          <w:szCs w:val="21"/>
        </w:rPr>
        <w:t>a</w:t>
      </w:r>
      <w:r w:rsidRPr="009655BF">
        <w:rPr>
          <w:sz w:val="21"/>
          <w:szCs w:val="21"/>
        </w:rPr>
        <w:t xml:space="preserve"> decision was made to use distance learning to absorb 30% of th</w:t>
      </w:r>
      <w:r w:rsidR="0057694A" w:rsidRPr="009655BF">
        <w:rPr>
          <w:sz w:val="21"/>
          <w:szCs w:val="21"/>
        </w:rPr>
        <w:t>e</w:t>
      </w:r>
      <w:r w:rsidRPr="009655BF">
        <w:rPr>
          <w:sz w:val="21"/>
          <w:szCs w:val="21"/>
        </w:rPr>
        <w:t xml:space="preserve"> increase. This was a good decision for several reasons. It did not require the overhead cost of brick-and-mortar, and it was easily scalable upward or downward based on demand. Most universities in the California State system developed distance learning courses</w:t>
      </w:r>
      <w:r w:rsidR="009655BF" w:rsidRPr="009655BF">
        <w:rPr>
          <w:sz w:val="21"/>
          <w:szCs w:val="21"/>
        </w:rPr>
        <w:t xml:space="preserve"> and programs</w:t>
      </w:r>
      <w:r w:rsidRPr="009655BF">
        <w:rPr>
          <w:sz w:val="21"/>
          <w:szCs w:val="21"/>
        </w:rPr>
        <w:t xml:space="preserve">, and some were shared so smaller </w:t>
      </w:r>
      <w:r w:rsidR="0092736E" w:rsidRPr="009655BF">
        <w:rPr>
          <w:sz w:val="21"/>
          <w:szCs w:val="21"/>
        </w:rPr>
        <w:t xml:space="preserve">campuses could offer </w:t>
      </w:r>
      <w:r w:rsidR="0057694A" w:rsidRPr="009655BF">
        <w:rPr>
          <w:sz w:val="21"/>
          <w:szCs w:val="21"/>
        </w:rPr>
        <w:t>more</w:t>
      </w:r>
      <w:r w:rsidR="0092736E" w:rsidRPr="009655BF">
        <w:rPr>
          <w:sz w:val="21"/>
          <w:szCs w:val="21"/>
        </w:rPr>
        <w:t xml:space="preserve"> courses</w:t>
      </w:r>
      <w:r w:rsidR="0057694A" w:rsidRPr="009655BF">
        <w:rPr>
          <w:sz w:val="21"/>
          <w:szCs w:val="21"/>
        </w:rPr>
        <w:t xml:space="preserve"> and degrees</w:t>
      </w:r>
      <w:r w:rsidR="0092736E" w:rsidRPr="009655BF">
        <w:rPr>
          <w:sz w:val="21"/>
          <w:szCs w:val="21"/>
        </w:rPr>
        <w:t xml:space="preserve">. But most important, students who could not attend on-campus programs </w:t>
      </w:r>
      <w:r w:rsidR="0057694A" w:rsidRPr="009655BF">
        <w:rPr>
          <w:sz w:val="21"/>
          <w:szCs w:val="21"/>
        </w:rPr>
        <w:t>now ha</w:t>
      </w:r>
      <w:r w:rsidR="009655BF" w:rsidRPr="009655BF">
        <w:rPr>
          <w:sz w:val="21"/>
          <w:szCs w:val="21"/>
        </w:rPr>
        <w:t>d</w:t>
      </w:r>
      <w:r w:rsidR="0092736E" w:rsidRPr="009655BF">
        <w:rPr>
          <w:sz w:val="21"/>
          <w:szCs w:val="21"/>
        </w:rPr>
        <w:t xml:space="preserve"> the opportunity for a university education.</w:t>
      </w:r>
    </w:p>
    <w:p w:rsidR="009655BF" w:rsidRDefault="009655BF" w:rsidP="000C7B67">
      <w:pPr>
        <w:rPr>
          <w:sz w:val="21"/>
          <w:szCs w:val="21"/>
        </w:rPr>
      </w:pPr>
      <w:r>
        <w:rPr>
          <w:sz w:val="21"/>
          <w:szCs w:val="21"/>
        </w:rPr>
        <w:t>Global</w:t>
      </w:r>
      <w:r w:rsidR="00861070" w:rsidRPr="009655BF">
        <w:rPr>
          <w:sz w:val="21"/>
          <w:szCs w:val="21"/>
        </w:rPr>
        <w:t xml:space="preserve"> availability of content </w:t>
      </w:r>
      <w:r w:rsidR="0057694A" w:rsidRPr="009655BF">
        <w:rPr>
          <w:sz w:val="21"/>
          <w:szCs w:val="21"/>
        </w:rPr>
        <w:t>through search engines and</w:t>
      </w:r>
      <w:r w:rsidR="00861070" w:rsidRPr="009655BF">
        <w:rPr>
          <w:sz w:val="21"/>
          <w:szCs w:val="21"/>
        </w:rPr>
        <w:t xml:space="preserve"> the internet</w:t>
      </w:r>
      <w:r w:rsidR="0057694A" w:rsidRPr="009655BF">
        <w:rPr>
          <w:sz w:val="21"/>
          <w:szCs w:val="21"/>
        </w:rPr>
        <w:t xml:space="preserve"> </w:t>
      </w:r>
      <w:r w:rsidRPr="009655BF">
        <w:rPr>
          <w:sz w:val="21"/>
          <w:szCs w:val="21"/>
        </w:rPr>
        <w:t>is steadily displacing the role of the university to teach the known. Will this accelerate the vision of</w:t>
      </w:r>
      <w:r w:rsidR="0057694A" w:rsidRPr="009655BF">
        <w:rPr>
          <w:sz w:val="21"/>
          <w:szCs w:val="21"/>
        </w:rPr>
        <w:t xml:space="preserve"> Lincoln Steffens </w:t>
      </w:r>
      <w:r w:rsidRPr="009655BF">
        <w:rPr>
          <w:sz w:val="21"/>
          <w:szCs w:val="21"/>
        </w:rPr>
        <w:t xml:space="preserve">to </w:t>
      </w:r>
      <w:r>
        <w:rPr>
          <w:sz w:val="21"/>
          <w:szCs w:val="21"/>
        </w:rPr>
        <w:t>re</w:t>
      </w:r>
      <w:r w:rsidRPr="009655BF">
        <w:rPr>
          <w:sz w:val="21"/>
          <w:szCs w:val="21"/>
        </w:rPr>
        <w:t>focus universit</w:t>
      </w:r>
      <w:r>
        <w:rPr>
          <w:sz w:val="21"/>
          <w:szCs w:val="21"/>
        </w:rPr>
        <w:t xml:space="preserve">y programs </w:t>
      </w:r>
      <w:r w:rsidR="006317C9">
        <w:rPr>
          <w:sz w:val="21"/>
          <w:szCs w:val="21"/>
        </w:rPr>
        <w:t>from content delivery to</w:t>
      </w:r>
      <w:r>
        <w:rPr>
          <w:sz w:val="21"/>
          <w:szCs w:val="21"/>
        </w:rPr>
        <w:t xml:space="preserve"> research, </w:t>
      </w:r>
      <w:r w:rsidR="0057694A" w:rsidRPr="009655BF">
        <w:rPr>
          <w:sz w:val="21"/>
          <w:szCs w:val="21"/>
        </w:rPr>
        <w:t xml:space="preserve">inquiry and exploration of the unknown? </w:t>
      </w:r>
    </w:p>
    <w:p w:rsidR="008C4EBF" w:rsidRPr="009655BF" w:rsidRDefault="0092736E" w:rsidP="000C7B67">
      <w:pPr>
        <w:rPr>
          <w:sz w:val="21"/>
          <w:szCs w:val="21"/>
        </w:rPr>
      </w:pPr>
      <w:r w:rsidRPr="009655BF">
        <w:rPr>
          <w:sz w:val="21"/>
          <w:szCs w:val="21"/>
        </w:rPr>
        <w:t xml:space="preserve">In this issue of IJITDL you will </w:t>
      </w:r>
      <w:r w:rsidR="006317C9">
        <w:rPr>
          <w:sz w:val="21"/>
          <w:szCs w:val="21"/>
        </w:rPr>
        <w:t>find</w:t>
      </w:r>
      <w:r w:rsidRPr="009655BF">
        <w:rPr>
          <w:sz w:val="21"/>
          <w:szCs w:val="21"/>
        </w:rPr>
        <w:t xml:space="preserve"> </w:t>
      </w:r>
      <w:r w:rsidR="0057694A" w:rsidRPr="009655BF">
        <w:rPr>
          <w:sz w:val="21"/>
          <w:szCs w:val="21"/>
        </w:rPr>
        <w:t>significant</w:t>
      </w:r>
      <w:r w:rsidRPr="009655BF">
        <w:rPr>
          <w:sz w:val="21"/>
          <w:szCs w:val="21"/>
        </w:rPr>
        <w:t xml:space="preserve"> applications of instructional design, constructivism, open and distance learning, </w:t>
      </w:r>
      <w:r w:rsidR="00861070" w:rsidRPr="009655BF">
        <w:rPr>
          <w:sz w:val="21"/>
          <w:szCs w:val="21"/>
        </w:rPr>
        <w:t xml:space="preserve">and research </w:t>
      </w:r>
      <w:r w:rsidRPr="009655BF">
        <w:rPr>
          <w:sz w:val="21"/>
          <w:szCs w:val="21"/>
        </w:rPr>
        <w:t xml:space="preserve">from </w:t>
      </w:r>
      <w:r w:rsidR="0057694A" w:rsidRPr="009655BF">
        <w:rPr>
          <w:sz w:val="21"/>
          <w:szCs w:val="21"/>
        </w:rPr>
        <w:t>d</w:t>
      </w:r>
      <w:r w:rsidRPr="009655BF">
        <w:rPr>
          <w:sz w:val="21"/>
          <w:szCs w:val="21"/>
        </w:rPr>
        <w:t xml:space="preserve">ifferent </w:t>
      </w:r>
      <w:r w:rsidR="00861070" w:rsidRPr="009655BF">
        <w:rPr>
          <w:sz w:val="21"/>
          <w:szCs w:val="21"/>
        </w:rPr>
        <w:t>c</w:t>
      </w:r>
      <w:r w:rsidRPr="009655BF">
        <w:rPr>
          <w:sz w:val="21"/>
          <w:szCs w:val="21"/>
        </w:rPr>
        <w:t xml:space="preserve">ountries </w:t>
      </w:r>
      <w:r w:rsidR="006317C9">
        <w:rPr>
          <w:sz w:val="21"/>
          <w:szCs w:val="21"/>
        </w:rPr>
        <w:t>to meet the needs of the 21</w:t>
      </w:r>
      <w:r w:rsidR="006317C9" w:rsidRPr="006317C9">
        <w:rPr>
          <w:sz w:val="21"/>
          <w:szCs w:val="21"/>
          <w:vertAlign w:val="superscript"/>
        </w:rPr>
        <w:t>st</w:t>
      </w:r>
      <w:r w:rsidR="006317C9">
        <w:rPr>
          <w:sz w:val="21"/>
          <w:szCs w:val="21"/>
        </w:rPr>
        <w:t xml:space="preserve"> century.</w:t>
      </w:r>
      <w:r w:rsidR="006317C9">
        <w:rPr>
          <w:sz w:val="21"/>
          <w:szCs w:val="21"/>
        </w:rPr>
        <w:br/>
      </w:r>
    </w:p>
    <w:p w:rsidR="006317C9" w:rsidRDefault="00164719" w:rsidP="006317C9">
      <w:pPr>
        <w:pBdr>
          <w:top w:val="single" w:sz="4" w:space="1" w:color="auto"/>
        </w:pBdr>
      </w:pPr>
      <w:r w:rsidRPr="0057694A">
        <w:rPr>
          <w:sz w:val="16"/>
          <w:szCs w:val="16"/>
        </w:rPr>
        <w:t>The Autobiography of Lincoln Steffens (1931) Harcourt, Brace and Company.  p131</w:t>
      </w:r>
      <w:r w:rsidR="006317C9">
        <w:br w:type="page"/>
      </w: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57694A" w:rsidRDefault="0057694A" w:rsidP="006317C9">
      <w:pPr>
        <w:rPr>
          <w:sz w:val="16"/>
          <w:szCs w:val="16"/>
        </w:rPr>
      </w:pPr>
    </w:p>
    <w:p w:rsidR="006317C9" w:rsidRDefault="006317C9" w:rsidP="006317C9">
      <w:pPr>
        <w:rPr>
          <w:sz w:val="16"/>
          <w:szCs w:val="16"/>
        </w:rPr>
      </w:pPr>
    </w:p>
    <w:p w:rsidR="006317C9" w:rsidRDefault="006317C9" w:rsidP="006317C9">
      <w:pPr>
        <w:rPr>
          <w:sz w:val="16"/>
          <w:szCs w:val="16"/>
        </w:rPr>
      </w:pPr>
    </w:p>
    <w:p w:rsidR="0057694A" w:rsidRDefault="0057694A" w:rsidP="006317C9">
      <w:pPr>
        <w:rPr>
          <w:sz w:val="16"/>
          <w:szCs w:val="16"/>
        </w:rPr>
      </w:pPr>
    </w:p>
    <w:p w:rsidR="00767053" w:rsidRDefault="0057694A" w:rsidP="006317C9">
      <w:pPr>
        <w:rPr>
          <w:rStyle w:val="Hyperlink"/>
          <w:sz w:val="16"/>
          <w:szCs w:val="16"/>
        </w:rPr>
      </w:pPr>
      <w:r>
        <w:rPr>
          <w:sz w:val="16"/>
          <w:szCs w:val="16"/>
        </w:rPr>
        <w:br/>
      </w: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00EB" w:rsidRDefault="007600EB" w:rsidP="007600EB">
      <w:pPr>
        <w:pStyle w:val="Note"/>
      </w:pPr>
      <w:bookmarkStart w:id="5" w:name="OLE_LINK1"/>
      <w:bookmarkStart w:id="6" w:name="OLE_LINK2"/>
      <w:r w:rsidRPr="007600EB">
        <w:rPr>
          <w:b/>
        </w:rPr>
        <w:lastRenderedPageBreak/>
        <w:t>Editor’s Note</w:t>
      </w:r>
      <w:r>
        <w:t xml:space="preserve">: </w:t>
      </w:r>
      <w:r w:rsidR="00CB6438">
        <w:t xml:space="preserve">This study combines a variety of disciplines related to instructional design to produce an effective validated program of instruction. Detailed planning includes review at every step: needs assessment, goal setting, </w:t>
      </w:r>
      <w:r w:rsidR="00DC690B">
        <w:t xml:space="preserve">content selection, design, </w:t>
      </w:r>
      <w:r w:rsidR="00CB6438">
        <w:t>prototype production</w:t>
      </w:r>
      <w:r w:rsidR="006317C9">
        <w:t xml:space="preserve"> and testing for</w:t>
      </w:r>
      <w:r w:rsidR="00CB6438">
        <w:t xml:space="preserve"> formative evaluation, </w:t>
      </w:r>
      <w:r w:rsidR="006317C9">
        <w:t xml:space="preserve">and </w:t>
      </w:r>
      <w:r w:rsidR="00CB6438">
        <w:t>production, implementation and evaluation</w:t>
      </w:r>
      <w:r w:rsidR="00DC690B">
        <w:t xml:space="preserve">. </w:t>
      </w:r>
    </w:p>
    <w:p w:rsidR="007600EB" w:rsidRDefault="007600EB" w:rsidP="007600EB">
      <w:pPr>
        <w:pStyle w:val="Note"/>
      </w:pPr>
    </w:p>
    <w:p w:rsidR="007600EB" w:rsidRDefault="007600EB" w:rsidP="007600EB">
      <w:pPr>
        <w:pStyle w:val="Heading6"/>
      </w:pPr>
      <w:bookmarkStart w:id="7" w:name="_Using_educational_technology"/>
      <w:bookmarkEnd w:id="7"/>
      <w:r>
        <w:t>Using educational technology for safety training</w:t>
      </w:r>
      <w:r w:rsidRPr="005D60A4">
        <w:t xml:space="preserve"> design</w:t>
      </w:r>
      <w:r>
        <w:t xml:space="preserve"> and evaluation of safety knowledge and skills</w:t>
      </w:r>
      <w:bookmarkEnd w:id="5"/>
      <w:bookmarkEnd w:id="6"/>
    </w:p>
    <w:p w:rsidR="007600EB" w:rsidRPr="00DD02AF" w:rsidRDefault="007600EB" w:rsidP="007600EB">
      <w:pPr>
        <w:pStyle w:val="Heading5"/>
        <w:rPr>
          <w:sz w:val="22"/>
          <w:szCs w:val="22"/>
          <w:rtl/>
          <w:lang w:bidi="ar-JO"/>
        </w:rPr>
      </w:pPr>
      <w:r w:rsidRPr="00DD02AF">
        <w:rPr>
          <w:sz w:val="22"/>
          <w:szCs w:val="22"/>
          <w:lang w:val="en-GB"/>
        </w:rPr>
        <w:t>Zakaria Bani-Salameh</w:t>
      </w:r>
    </w:p>
    <w:p w:rsidR="007600EB" w:rsidRPr="00DD02AF" w:rsidRDefault="007600EB" w:rsidP="007600EB">
      <w:pPr>
        <w:pStyle w:val="Heading5"/>
        <w:rPr>
          <w:sz w:val="18"/>
          <w:szCs w:val="18"/>
          <w:lang w:val="en-GB"/>
        </w:rPr>
      </w:pPr>
      <w:r w:rsidRPr="00DD02AF">
        <w:rPr>
          <w:sz w:val="18"/>
          <w:szCs w:val="18"/>
          <w:lang w:val="en-GB"/>
        </w:rPr>
        <w:t>Saudi Arabia</w:t>
      </w:r>
    </w:p>
    <w:p w:rsidR="007600EB" w:rsidRDefault="007600EB" w:rsidP="007600EB">
      <w:pPr>
        <w:pStyle w:val="Heading7"/>
      </w:pPr>
      <w:r w:rsidRPr="00FE249A">
        <w:t>Abstract</w:t>
      </w:r>
    </w:p>
    <w:p w:rsidR="007600EB" w:rsidRDefault="007600EB" w:rsidP="007600EB">
      <w:r w:rsidRPr="00FE249A">
        <w:t>Flight attendants take care of the safety of mill</w:t>
      </w:r>
      <w:r>
        <w:t xml:space="preserve">ions of passengers annually. Their preparedness for onboard duty is assessed by their flight supervisors during preflight briefings and they must undergo annual refresher training courses for recertification. They must also have their safety manuals at all times and refer to them religiously for review and revision. However, many </w:t>
      </w:r>
      <w:r w:rsidRPr="00FE249A">
        <w:t>studies</w:t>
      </w:r>
      <w:r>
        <w:t xml:space="preserve"> have</w:t>
      </w:r>
      <w:r w:rsidRPr="00FE249A">
        <w:t xml:space="preserve"> report</w:t>
      </w:r>
      <w:r>
        <w:t>ed</w:t>
      </w:r>
      <w:r w:rsidRPr="00FE249A">
        <w:t xml:space="preserve"> </w:t>
      </w:r>
      <w:r>
        <w:t xml:space="preserve">specific weaknesses in the flight attendants’ abilities that can be attributed to </w:t>
      </w:r>
      <w:r w:rsidRPr="00FE249A">
        <w:t>deficiencies</w:t>
      </w:r>
      <w:r>
        <w:t xml:space="preserve"> in</w:t>
      </w:r>
      <w:r w:rsidRPr="00FE249A">
        <w:t xml:space="preserve"> </w:t>
      </w:r>
      <w:r>
        <w:t xml:space="preserve">and lack of systematic </w:t>
      </w:r>
      <w:r w:rsidRPr="00FE249A">
        <w:t>training</w:t>
      </w:r>
      <w:r>
        <w:t xml:space="preserve">. This study proposed and evaluated a set of new methods for enhancing and assessing readiness and expertise among flight attendants. Knowledge and expertise is theorized to reside in schemas which consist of declarative, procedural memories. Thus, the purposes of training are to create expert schemas and to continuously refine them. For this study, knowledge and </w:t>
      </w:r>
      <w:r w:rsidR="0036178C">
        <w:t>Expertise</w:t>
      </w:r>
      <w:r>
        <w:t xml:space="preserve"> are defined in terms of verbal information which is the ability to state facts and procedures, and intellectual skills which are cognitive processes of discrimination and forming of concepts, rules, and higher-order rules following Gagne’s (1985) prescriptions. Using educational technology with Flash Cs3, A systematic and interactive multimedia program was developed to deliver the instruction and a 50-item test based on the Gagne’s learning hierarchy was constructed to assess the safety knowledge and skills.</w:t>
      </w:r>
    </w:p>
    <w:p w:rsidR="007600EB" w:rsidRPr="00FE249A" w:rsidRDefault="007600EB" w:rsidP="007600EB">
      <w:pPr>
        <w:pStyle w:val="Heading7"/>
        <w:rPr>
          <w:lang w:bidi="ar-JO"/>
        </w:rPr>
      </w:pPr>
      <w:r w:rsidRPr="00FE249A">
        <w:rPr>
          <w:lang w:bidi="ar-JO"/>
        </w:rPr>
        <w:t>Introduction</w:t>
      </w:r>
    </w:p>
    <w:p w:rsidR="007600EB" w:rsidRDefault="007600EB" w:rsidP="007600EB">
      <w:r w:rsidRPr="001C4340">
        <w:t>In-flight safety assurance is a major concern for airlines and is considered to be the flight attendants’ major responsibility onboard. The current instructional methods provided for the flight attendants make use of text-based documents including description of the aircraft and emergency procedures. On the other hand, training flight attendants in the basic safety training and refresher training employs power point text-based presentations and illustrations in addition to practical drills through the facilities provided at the training center (JATS).</w:t>
      </w:r>
    </w:p>
    <w:p w:rsidR="007600EB" w:rsidRPr="001C4340" w:rsidRDefault="007600EB" w:rsidP="007600EB">
      <w:r w:rsidRPr="001C4340">
        <w:t>Current reports shed light on deficiencies of flight attendants training. After reviewing the related literature in the field of flight attendants training, it was noticed that there is a lack of studies that address the context of the flight attendants’ safety role onboard. Rhoden , Raltson et al (2007, 538) claim</w:t>
      </w:r>
      <w:r>
        <w:t>ed</w:t>
      </w:r>
      <w:r w:rsidRPr="001C4340">
        <w:t xml:space="preserve"> that: </w:t>
      </w:r>
    </w:p>
    <w:p w:rsidR="007600EB" w:rsidRPr="001C4340" w:rsidRDefault="007600EB" w:rsidP="007600EB">
      <w:pPr>
        <w:ind w:left="360" w:right="360"/>
        <w:rPr>
          <w:i/>
          <w:iCs/>
        </w:rPr>
      </w:pPr>
      <w:r w:rsidRPr="001C4340">
        <w:rPr>
          <w:i/>
          <w:iCs/>
        </w:rPr>
        <w:t>"Ironically, the safety role of cabin crew (Flight attendants) receives no attention in the academic literature. Given that cabin crew take responsibility for millions of passengers annually, it is argued that the quality of the training delivered to enable them to undertake their safety role effectively is an important consideration for all air transport passengers and airline personnel."</w:t>
      </w:r>
    </w:p>
    <w:p w:rsidR="007600EB" w:rsidRPr="001C4340" w:rsidRDefault="007600EB" w:rsidP="007600EB">
      <w:r w:rsidRPr="001C4340">
        <w:t>Mahony, Grifﬁths, Larsen and Powell (2008) found that flight attendants are not properly trained in first aid situations due to the types of instructional techniques employed, variations in program delivery and the time interval between training and re-assessment and</w:t>
      </w:r>
      <w:r w:rsidRPr="001C4340">
        <w:rPr>
          <w:color w:val="000000"/>
          <w:spacing w:val="-5"/>
          <w:w w:val="102"/>
        </w:rPr>
        <w:t xml:space="preserve"> lapses in knowledge and skill retention. Mahony </w:t>
      </w:r>
      <w:r w:rsidRPr="007600EB">
        <w:rPr>
          <w:i/>
          <w:color w:val="000000"/>
          <w:spacing w:val="-5"/>
          <w:w w:val="102"/>
        </w:rPr>
        <w:t>et al</w:t>
      </w:r>
      <w:r w:rsidRPr="001C4340">
        <w:rPr>
          <w:color w:val="000000"/>
          <w:spacing w:val="-5"/>
          <w:w w:val="102"/>
        </w:rPr>
        <w:t xml:space="preserve">  </w:t>
      </w:r>
      <w:r w:rsidRPr="001C4340">
        <w:t xml:space="preserve">recommended that frequent brief skill reviews be used through training technologies to improve retention of skills and this can be done before pre-flight briefing </w:t>
      </w:r>
      <w:r w:rsidRPr="001C4340">
        <w:lastRenderedPageBreak/>
        <w:t xml:space="preserve">and the frequency of refresher course should be less than 12 calendar months. Leocha (2009) referred to the flight attendants' high professionalism which was revealed in the accident of the Hudson River. He pointed out that the actions of the flight attendants in the cabin were the key factor in the successful evacuation of the floating plane. </w:t>
      </w:r>
    </w:p>
    <w:p w:rsidR="007600EB" w:rsidRPr="001C4340" w:rsidRDefault="007600EB" w:rsidP="007600EB">
      <w:r w:rsidRPr="001C4340">
        <w:t xml:space="preserve">A review of literature on flight attendants' safety training programs came out with empty hands except for the study by </w:t>
      </w:r>
      <w:r w:rsidRPr="00DD3940">
        <w:t>Bani-Salameh, Z., Kabilan, M. &amp; Bani-Salameh, L.</w:t>
      </w:r>
      <w:r w:rsidRPr="001C4340">
        <w:t xml:space="preserve"> (2010b) which investigated the effectiveness of</w:t>
      </w:r>
      <w:r>
        <w:t xml:space="preserve"> English for Specific Purposes (</w:t>
      </w:r>
      <w:r w:rsidRPr="001C4340">
        <w:t>ESP</w:t>
      </w:r>
      <w:r>
        <w:t>)</w:t>
      </w:r>
      <w:r w:rsidRPr="001C4340">
        <w:t xml:space="preserve"> multimedia program on flight attendants' safety knowledge and skills. The study made use of Gagne's two domains of learning of verbal information and intellectual skills through using the English for specific purposes (ESP) approach of reading and listening skills.  The study found that the ESP multimedia program was significant in terms of recall of safety knowledge and skills in favor of the experimental group. The study recommended using similar ESP programs for training flight attendants. </w:t>
      </w:r>
      <w:r w:rsidRPr="00DD3940">
        <w:t>Bani-Salameh, Z., Kabilan, M. &amp; Bani-Salameh, L</w:t>
      </w:r>
      <w:r w:rsidRPr="001C4340">
        <w:t xml:space="preserve"> (2010b) recommended using systematic design of instruction to enhance </w:t>
      </w:r>
      <w:r w:rsidR="0036178C">
        <w:t>e</w:t>
      </w:r>
      <w:r w:rsidRPr="001C4340">
        <w:t>xpertise am</w:t>
      </w:r>
      <w:r>
        <w:t>ong flight attendants</w:t>
      </w:r>
      <w:r w:rsidRPr="001C4340">
        <w:t xml:space="preserve">. Systematic design of instruction identifies what the learner will be able to do at the end of instruction (Dick &amp; Carey, 2001; Frisby &amp; Day, 2003). </w:t>
      </w:r>
      <w:r w:rsidRPr="00754689">
        <w:t>Bani-Salameh, Z., Abbas, M., Kabilan, M., Mei, L. &amp; Bani-Salameh, L.</w:t>
      </w:r>
      <w:r w:rsidRPr="001C4340">
        <w:t xml:space="preserve"> (2009</w:t>
      </w:r>
      <w:r>
        <w:t xml:space="preserve">); </w:t>
      </w:r>
      <w:r w:rsidRPr="00754689">
        <w:t xml:space="preserve">Bani-Salameh, Z., Abbas, M. &amp; Bani-Salameh, L. </w:t>
      </w:r>
      <w:r>
        <w:t>(</w:t>
      </w:r>
      <w:r w:rsidRPr="001C4340">
        <w:t>2010a</w:t>
      </w:r>
      <w:r>
        <w:t xml:space="preserve">) and </w:t>
      </w:r>
      <w:r w:rsidRPr="00DD3940">
        <w:t>Bani-Salameh, Z., Kabilan, M. &amp; Bani-Salameh, L</w:t>
      </w:r>
      <w:r>
        <w:t>. (</w:t>
      </w:r>
      <w:r w:rsidRPr="001C4340">
        <w:t>2010b) identified flight attendants needs to be trained using systematic interactive multimedia instruction.</w:t>
      </w:r>
      <w:r>
        <w:t xml:space="preserve"> Lowe (2003) </w:t>
      </w:r>
      <w:r w:rsidRPr="001C4340">
        <w:t>pointed out that despite the fact that creating interactive multimedi</w:t>
      </w:r>
      <w:r>
        <w:t>a sources is available to every</w:t>
      </w:r>
      <w:r w:rsidRPr="001C4340">
        <w:t>one, designing good material should be based on proper criteria. Johnson, (2009) stated that instructional system design is the best method to design interactive multimedia and Mahnaz (2001) proposed using systematic procedures and interactive multimedia environments.</w:t>
      </w:r>
    </w:p>
    <w:p w:rsidR="007600EB" w:rsidRDefault="007600EB" w:rsidP="007600EB">
      <w:pPr>
        <w:rPr>
          <w:lang w:bidi="ar-JO"/>
        </w:rPr>
      </w:pPr>
      <w:r w:rsidRPr="001C4340">
        <w:t xml:space="preserve">The focus of this </w:t>
      </w:r>
      <w:r w:rsidRPr="005865D9">
        <w:t>paper is establishing the validity of</w:t>
      </w:r>
      <w:r>
        <w:t xml:space="preserve"> a </w:t>
      </w:r>
      <w:r w:rsidRPr="001C4340">
        <w:t xml:space="preserve">systematic interactive multimedia instruction (SIMI) </w:t>
      </w:r>
      <w:r>
        <w:t>for teaching</w:t>
      </w:r>
      <w:r w:rsidRPr="001C4340">
        <w:t xml:space="preserve"> safety knowledge and emergency procedures for flight attendants. The need to research and develop SIMI training for flight attendants was prompted by the reports and studies that called for initiating proper training for flight attendants (Lecouturier, 1999; Rhoden </w:t>
      </w:r>
      <w:r w:rsidRPr="007600EB">
        <w:rPr>
          <w:i/>
        </w:rPr>
        <w:t>et al</w:t>
      </w:r>
      <w:r w:rsidRPr="001C4340">
        <w:t xml:space="preserve">,2007; Mahony et al, 2008; </w:t>
      </w:r>
      <w:r>
        <w:t>Bani Salameh et al</w:t>
      </w:r>
      <w:r w:rsidRPr="001C4340">
        <w:t>, 2009, 2010a, 2010b; ).</w:t>
      </w:r>
      <w:r>
        <w:t xml:space="preserve"> </w:t>
      </w:r>
      <w:r w:rsidRPr="001C4340">
        <w:t>Systematic design of instruction can lead to improve learning outcomes (Dick and Carey</w:t>
      </w:r>
      <w:r>
        <w:t>, 2001; Frisby &amp; Day, 2003;</w:t>
      </w:r>
      <w:r w:rsidRPr="001C4340">
        <w:t xml:space="preserve"> Johnson, 2009). In </w:t>
      </w:r>
      <w:r w:rsidRPr="00B81FF7">
        <w:t>this</w:t>
      </w:r>
      <w:r w:rsidRPr="001C4340">
        <w:t xml:space="preserve"> study, a systematic interactive multimedia instruction (SIMI) was developed to enhance expertise of safety knowledge and skills (SKS) among flight attendants. Bran</w:t>
      </w:r>
      <w:r>
        <w:t>sford, Brown, and Chocking (</w:t>
      </w:r>
      <w:r w:rsidRPr="001C4340">
        <w:t xml:space="preserve">2000) referred to three main approaches that help learners develop expertise: (a) meaningful learning and patterns, (b) organizing knowledge within a main domain, and (c) storing a </w:t>
      </w:r>
      <w:r w:rsidR="0036178C">
        <w:t>large</w:t>
      </w:r>
      <w:r w:rsidRPr="001C4340">
        <w:t xml:space="preserve"> amount of knowledge about this specific domain. The use of multimedia, with its capabilities in providing text, sound, video, simulation, interactivity and animation in addition to adopting proper theory and systematic design of instruction could cater for the approaches that develop expertise or mental models (Johnson, 2009). Thus, the improvement of the SKS among flight attendants might be achieved through making use of computer-based training (CBT). </w:t>
      </w:r>
      <w:r w:rsidRPr="001C4340">
        <w:rPr>
          <w:lang w:bidi="ar-JO"/>
        </w:rPr>
        <w:t>This research makes use of Gagne's theory and Dick and Carey instructional design model in designing systematic interactive multimedia instruction for flight attendants.</w:t>
      </w:r>
    </w:p>
    <w:p w:rsidR="007600EB" w:rsidRPr="00242A2E" w:rsidRDefault="007600EB" w:rsidP="007600EB">
      <w:pPr>
        <w:rPr>
          <w:rFonts w:ascii="Arial" w:hAnsi="Arial" w:cs="Arial"/>
          <w:b/>
          <w:bCs/>
        </w:rPr>
      </w:pPr>
      <w:r w:rsidRPr="00242A2E">
        <w:rPr>
          <w:rFonts w:ascii="Arial" w:hAnsi="Arial" w:cs="Arial"/>
          <w:b/>
          <w:bCs/>
        </w:rPr>
        <w:t xml:space="preserve">Literature </w:t>
      </w:r>
      <w:r w:rsidR="002E0175">
        <w:rPr>
          <w:rFonts w:ascii="Arial" w:hAnsi="Arial" w:cs="Arial"/>
          <w:b/>
          <w:bCs/>
        </w:rPr>
        <w:t>r</w:t>
      </w:r>
      <w:r w:rsidRPr="00242A2E">
        <w:rPr>
          <w:rFonts w:ascii="Arial" w:hAnsi="Arial" w:cs="Arial"/>
          <w:b/>
          <w:bCs/>
        </w:rPr>
        <w:t>eview</w:t>
      </w:r>
    </w:p>
    <w:p w:rsidR="007600EB" w:rsidRPr="00242A2E" w:rsidRDefault="007600EB" w:rsidP="007600EB">
      <w:pPr>
        <w:rPr>
          <w:lang w:bidi="ar-JO"/>
        </w:rPr>
      </w:pPr>
      <w:r w:rsidRPr="00242A2E">
        <w:t xml:space="preserve">Bani-Salameh, Z., Kabilan, M. &amp; Bani-Salameh, L. (2010b) designed the in-flight safety assurance (ISA) model (Figure 1) </w:t>
      </w:r>
      <w:r w:rsidRPr="00242A2E">
        <w:rPr>
          <w:lang w:bidi="ar-JO"/>
        </w:rPr>
        <w:t>based on the general systems theory (Von Bertalanffy, 1962)</w:t>
      </w:r>
      <w:r w:rsidRPr="00242A2E">
        <w:t xml:space="preserve"> which describes flight attendants current practice  in all major airlines in terms of safety knowledge and Skills (SKS). The ISA model dictates that the desired and ideal outcomes of </w:t>
      </w:r>
      <w:r w:rsidR="0036178C">
        <w:t>e</w:t>
      </w:r>
      <w:r w:rsidRPr="00242A2E">
        <w:t xml:space="preserve">xpertise result from direct and indirect interactions, or cause-and effect relationships, among specific modifiable factors. It takes a holistic view, connecting key developmental opportunities over time. Basic safety training, pre-flight briefings and recurrent training are the primary inputs; </w:t>
      </w:r>
      <w:r w:rsidRPr="00242A2E">
        <w:lastRenderedPageBreak/>
        <w:t xml:space="preserve">routine in-flight preparedness and </w:t>
      </w:r>
      <w:r w:rsidR="0036178C">
        <w:t>Expertise</w:t>
      </w:r>
      <w:r w:rsidRPr="00242A2E">
        <w:t xml:space="preserve"> flight safety schema are the outputs. The normal flight duty loop in ISA model represents the dominant flow of cognitive tasks; flight attendants enter this loop only after demonstrating initial mastery of SKS, and with the airline’s cabin safety manual at hand as their guide to SOPs and emergency procedures. The normal flight duty loop and routine experience also represent the state of in-flight </w:t>
      </w:r>
      <w:r>
        <w:t>preparedn</w:t>
      </w:r>
      <w:r w:rsidRPr="00242A2E">
        <w:t>ess;</w:t>
      </w:r>
      <w:r>
        <w:t xml:space="preserve"> </w:t>
      </w:r>
      <w:r w:rsidRPr="00242A2E">
        <w:t xml:space="preserve">they are a “standby mode” in which flight attendants are expected to be fully alert and vigilant. As safety practitioners, flight attendants also are expected to continually read their manuals and rehearse the emergency procedures in their </w:t>
      </w:r>
      <w:r w:rsidRPr="00242A2E">
        <w:rPr>
          <w:lang w:bidi="ar-JO"/>
        </w:rPr>
        <w:t>minds, too often without adequate learning support except for the recurrent training. The In-flight Safety Assurance model provides a holistic view of the quality assurance processes from initial training to refresher training and a closer look at the safety knowledge and skills (SKS) by the flight attendants in the various stages of their career. The factors of the ISA model represent the conceptual framework and the ideal practice of the flight attendants work routines in all major commercial airlines.</w:t>
      </w:r>
    </w:p>
    <w:p w:rsidR="007600EB" w:rsidRPr="00242A2E" w:rsidRDefault="007600EB" w:rsidP="007600EB">
      <w:r w:rsidRPr="00242A2E">
        <w:t>The ISA Model (</w:t>
      </w:r>
      <w:r w:rsidR="0036178C">
        <w:t>F</w:t>
      </w:r>
      <w:r w:rsidRPr="00242A2E">
        <w:t>igure 1) consists of three loops: the duty loop, the certification loop and the management loop, with Expertise as a hypothesized outcome from the iterations within the loops. The first loop which is the focus in this research is called Flight Duty Loop, which includes PFB, IFP and the development of Expertise Schema. The Flight Duty Loop is repeated approximately 10 times per month for twelve calendar months. Refresher training (RT) makes the second loop in ISA model, which includes RT, pre-flight briefing (PFB), in-flight preparedness (IFP) and Expertise. This loop is called Certification Loop because the flight attendants have to pass the refresher training (RT) in order to renew their annual competence certificate.</w:t>
      </w:r>
    </w:p>
    <w:p w:rsidR="00053789" w:rsidRDefault="007600EB" w:rsidP="007600EB">
      <w:r w:rsidRPr="00242A2E">
        <w:t>There are 3 avenues to acquire expert schemas, namely, through successful routine in-flight experience, through emergency experience, and through refresher training</w:t>
      </w:r>
    </w:p>
    <w:p w:rsidR="007600EB" w:rsidRDefault="007600EB" w:rsidP="00053789">
      <w:r>
        <w:rPr>
          <w:noProof/>
        </w:rPr>
        <mc:AlternateContent>
          <mc:Choice Requires="wpg">
            <w:drawing>
              <wp:anchor distT="0" distB="0" distL="114300" distR="114300" simplePos="0" relativeHeight="251663360" behindDoc="0" locked="0" layoutInCell="1" allowOverlap="1" wp14:anchorId="1F44A32E" wp14:editId="2734CDB1">
                <wp:simplePos x="0" y="0"/>
                <wp:positionH relativeFrom="column">
                  <wp:posOffset>15240</wp:posOffset>
                </wp:positionH>
                <wp:positionV relativeFrom="paragraph">
                  <wp:posOffset>144780</wp:posOffset>
                </wp:positionV>
                <wp:extent cx="5143500" cy="3429000"/>
                <wp:effectExtent l="0" t="0" r="1905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429000"/>
                          <a:chOff x="1440" y="1470"/>
                          <a:chExt cx="8600" cy="5083"/>
                        </a:xfrm>
                      </wpg:grpSpPr>
                      <wps:wsp>
                        <wps:cNvPr id="26" name="Line 86"/>
                        <wps:cNvCnPr>
                          <a:cxnSpLocks noChangeShapeType="1"/>
                        </wps:cNvCnPr>
                        <wps:spPr bwMode="auto">
                          <a:xfrm flipH="1" flipV="1">
                            <a:off x="4232" y="4183"/>
                            <a:ext cx="0" cy="1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 name="Group 87"/>
                        <wpg:cNvGrpSpPr>
                          <a:grpSpLocks/>
                        </wpg:cNvGrpSpPr>
                        <wpg:grpSpPr bwMode="auto">
                          <a:xfrm>
                            <a:off x="1440" y="1470"/>
                            <a:ext cx="8600" cy="5083"/>
                            <a:chOff x="1440" y="1470"/>
                            <a:chExt cx="8600" cy="5083"/>
                          </a:xfrm>
                        </wpg:grpSpPr>
                        <wps:wsp>
                          <wps:cNvPr id="28" name="AutoShape 88"/>
                          <wps:cNvCnPr>
                            <a:cxnSpLocks noChangeShapeType="1"/>
                          </wps:cNvCnPr>
                          <wps:spPr bwMode="auto">
                            <a:xfrm flipH="1">
                              <a:off x="6111" y="5430"/>
                              <a:ext cx="13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 name="Group 89"/>
                          <wpg:cNvGrpSpPr>
                            <a:grpSpLocks/>
                          </wpg:cNvGrpSpPr>
                          <wpg:grpSpPr bwMode="auto">
                            <a:xfrm>
                              <a:off x="1440" y="1470"/>
                              <a:ext cx="8600" cy="5083"/>
                              <a:chOff x="1440" y="1470"/>
                              <a:chExt cx="8600" cy="5083"/>
                            </a:xfrm>
                          </wpg:grpSpPr>
                          <wps:wsp>
                            <wps:cNvPr id="30" name="Line 90"/>
                            <wps:cNvCnPr>
                              <a:cxnSpLocks noChangeShapeType="1"/>
                            </wps:cNvCnPr>
                            <wps:spPr bwMode="auto">
                              <a:xfrm>
                                <a:off x="9306" y="5758"/>
                                <a:ext cx="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91"/>
                            <wps:cNvSpPr txBox="1">
                              <a:spLocks noChangeArrowheads="1"/>
                            </wps:cNvSpPr>
                            <wps:spPr bwMode="auto">
                              <a:xfrm>
                                <a:off x="6789" y="6003"/>
                                <a:ext cx="2683"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35E1" w:rsidRPr="003D1DF1" w:rsidRDefault="00E635E1" w:rsidP="007600EB">
                                  <w:pPr>
                                    <w:rPr>
                                      <w:noProof/>
                                      <w:color w:val="993300"/>
                                      <w:rtl/>
                                      <w:lang w:bidi="ar-JO"/>
                                    </w:rPr>
                                  </w:pPr>
                                  <w:r w:rsidRPr="003D1DF1">
                                    <w:rPr>
                                      <w:noProof/>
                                      <w:color w:val="993300"/>
                                    </w:rPr>
                                    <w:t xml:space="preserve">Certification </w:t>
                                  </w:r>
                                  <w:smartTag w:uri="urn:schemas-microsoft-com:office:smarttags" w:element="place">
                                    <w:r w:rsidRPr="003D1DF1">
                                      <w:rPr>
                                        <w:noProof/>
                                        <w:color w:val="993300"/>
                                      </w:rPr>
                                      <w:t>Loop</w:t>
                                    </w:r>
                                  </w:smartTag>
                                </w:p>
                              </w:txbxContent>
                            </wps:txbx>
                            <wps:bodyPr rot="0" vert="horz" wrap="square" lIns="91440" tIns="45720" rIns="91440" bIns="45720" anchor="t" anchorCtr="0" upright="1">
                              <a:noAutofit/>
                            </wps:bodyPr>
                          </wps:wsp>
                          <wps:wsp>
                            <wps:cNvPr id="32" name="Line 92"/>
                            <wps:cNvCnPr>
                              <a:cxnSpLocks noChangeShapeType="1"/>
                            </wps:cNvCnPr>
                            <wps:spPr bwMode="auto">
                              <a:xfrm flipH="1" flipV="1">
                                <a:off x="4232" y="6011"/>
                                <a:ext cx="5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93"/>
                            <wps:cNvSpPr txBox="1">
                              <a:spLocks noChangeArrowheads="1"/>
                            </wps:cNvSpPr>
                            <wps:spPr bwMode="auto">
                              <a:xfrm>
                                <a:off x="1440" y="3301"/>
                                <a:ext cx="1617" cy="917"/>
                              </a:xfrm>
                              <a:prstGeom prst="rect">
                                <a:avLst/>
                              </a:prstGeom>
                              <a:solidFill>
                                <a:srgbClr val="DDDDDD">
                                  <a:alpha val="80000"/>
                                </a:srgbClr>
                              </a:solidFill>
                              <a:ln w="9525">
                                <a:solidFill>
                                  <a:srgbClr val="000000"/>
                                </a:solidFill>
                                <a:miter lim="800000"/>
                                <a:headEnd/>
                                <a:tailEnd/>
                              </a:ln>
                            </wps:spPr>
                            <wps:txbx>
                              <w:txbxContent>
                                <w:p w:rsidR="00E635E1" w:rsidRPr="00E80444" w:rsidRDefault="00E635E1" w:rsidP="007600EB">
                                  <w:pPr>
                                    <w:spacing w:before="0" w:after="0"/>
                                    <w:jc w:val="center"/>
                                    <w:rPr>
                                      <w:rtl/>
                                      <w:lang w:bidi="ar-JO"/>
                                    </w:rPr>
                                  </w:pPr>
                                  <w:r w:rsidRPr="00E80444">
                                    <w:t>Basic Safety Training</w:t>
                                  </w:r>
                                </w:p>
                                <w:p w:rsidR="00E635E1" w:rsidRDefault="00E635E1" w:rsidP="007600EB">
                                  <w:pPr>
                                    <w:spacing w:before="0" w:after="0"/>
                                    <w:jc w:val="center"/>
                                    <w:rPr>
                                      <w:b/>
                                      <w:bCs/>
                                      <w:sz w:val="20"/>
                                      <w:rtl/>
                                      <w:lang w:bidi="ar-JO"/>
                                    </w:rPr>
                                  </w:pPr>
                                  <w:r>
                                    <w:rPr>
                                      <w:b/>
                                      <w:bCs/>
                                      <w:sz w:val="20"/>
                                    </w:rPr>
                                    <w:t>(BST)</w:t>
                                  </w:r>
                                </w:p>
                              </w:txbxContent>
                            </wps:txbx>
                            <wps:bodyPr rot="0" vert="horz" wrap="square" lIns="91440" tIns="45720" rIns="91440" bIns="45720" anchor="t" anchorCtr="0" upright="1">
                              <a:noAutofit/>
                            </wps:bodyPr>
                          </wps:wsp>
                          <wps:wsp>
                            <wps:cNvPr id="34" name="Text Box 94"/>
                            <wps:cNvSpPr txBox="1">
                              <a:spLocks noChangeArrowheads="1"/>
                            </wps:cNvSpPr>
                            <wps:spPr bwMode="auto">
                              <a:xfrm>
                                <a:off x="3462" y="3265"/>
                                <a:ext cx="1620" cy="917"/>
                              </a:xfrm>
                              <a:prstGeom prst="rect">
                                <a:avLst/>
                              </a:prstGeom>
                              <a:solidFill>
                                <a:srgbClr val="DDDDDD">
                                  <a:alpha val="80000"/>
                                </a:srgbClr>
                              </a:solidFill>
                              <a:ln w="9525">
                                <a:solidFill>
                                  <a:srgbClr val="000000"/>
                                </a:solidFill>
                                <a:miter lim="800000"/>
                                <a:headEnd/>
                                <a:tailEnd/>
                              </a:ln>
                            </wps:spPr>
                            <wps:txbx>
                              <w:txbxContent>
                                <w:p w:rsidR="00E635E1" w:rsidRPr="00E80444" w:rsidRDefault="00E635E1" w:rsidP="007600EB">
                                  <w:pPr>
                                    <w:spacing w:before="0" w:after="0"/>
                                    <w:jc w:val="center"/>
                                    <w:rPr>
                                      <w:rtl/>
                                      <w:lang w:bidi="ar-JO"/>
                                    </w:rPr>
                                  </w:pPr>
                                  <w:r w:rsidRPr="00E80444">
                                    <w:t>Pre-Flight Briefing</w:t>
                                  </w:r>
                                </w:p>
                                <w:p w:rsidR="00E635E1" w:rsidRPr="00E80444" w:rsidRDefault="00E635E1" w:rsidP="007600EB">
                                  <w:pPr>
                                    <w:spacing w:before="0" w:after="0"/>
                                    <w:jc w:val="center"/>
                                  </w:pPr>
                                  <w:r w:rsidRPr="00E80444">
                                    <w:rPr>
                                      <w:sz w:val="20"/>
                                    </w:rPr>
                                    <w:t>(PFB</w:t>
                                  </w:r>
                                  <w:r w:rsidRPr="00E80444">
                                    <w:t>)</w:t>
                                  </w:r>
                                </w:p>
                              </w:txbxContent>
                            </wps:txbx>
                            <wps:bodyPr rot="0" vert="horz" wrap="square" lIns="91440" tIns="45720" rIns="91440" bIns="45720" anchor="t" anchorCtr="0" upright="1">
                              <a:noAutofit/>
                            </wps:bodyPr>
                          </wps:wsp>
                          <wps:wsp>
                            <wps:cNvPr id="35" name="Text Box 95"/>
                            <wps:cNvSpPr txBox="1">
                              <a:spLocks noChangeArrowheads="1"/>
                            </wps:cNvSpPr>
                            <wps:spPr bwMode="auto">
                              <a:xfrm>
                                <a:off x="8621" y="4746"/>
                                <a:ext cx="1419" cy="1029"/>
                              </a:xfrm>
                              <a:prstGeom prst="rect">
                                <a:avLst/>
                              </a:prstGeom>
                              <a:solidFill>
                                <a:srgbClr val="DDDDDD">
                                  <a:alpha val="80000"/>
                                </a:srgbClr>
                              </a:solidFill>
                              <a:ln w="9525">
                                <a:solidFill>
                                  <a:srgbClr val="000000"/>
                                </a:solidFill>
                                <a:miter lim="800000"/>
                                <a:headEnd/>
                                <a:tailEnd/>
                              </a:ln>
                            </wps:spPr>
                            <wps:txbx>
                              <w:txbxContent>
                                <w:p w:rsidR="00E635E1" w:rsidRPr="00904652" w:rsidRDefault="00E635E1" w:rsidP="007600EB">
                                  <w:pPr>
                                    <w:spacing w:before="0" w:after="0"/>
                                    <w:jc w:val="center"/>
                                    <w:rPr>
                                      <w:b/>
                                      <w:bCs/>
                                    </w:rPr>
                                  </w:pPr>
                                  <w:r w:rsidRPr="00904652">
                                    <w:rPr>
                                      <w:b/>
                                      <w:bCs/>
                                    </w:rPr>
                                    <w:t xml:space="preserve">Refresher </w:t>
                                  </w:r>
                                </w:p>
                                <w:p w:rsidR="00E635E1" w:rsidRPr="00904652" w:rsidRDefault="00E635E1" w:rsidP="007600EB">
                                  <w:pPr>
                                    <w:spacing w:before="0" w:after="0"/>
                                    <w:jc w:val="center"/>
                                    <w:rPr>
                                      <w:b/>
                                      <w:bCs/>
                                    </w:rPr>
                                  </w:pPr>
                                  <w:r w:rsidRPr="00904652">
                                    <w:rPr>
                                      <w:b/>
                                      <w:bCs/>
                                    </w:rPr>
                                    <w:t>Training</w:t>
                                  </w:r>
                                </w:p>
                                <w:p w:rsidR="00E635E1" w:rsidRDefault="00E635E1" w:rsidP="007600EB">
                                  <w:pPr>
                                    <w:spacing w:before="0" w:after="0"/>
                                    <w:jc w:val="center"/>
                                    <w:rPr>
                                      <w:b/>
                                      <w:bCs/>
                                      <w:sz w:val="20"/>
                                    </w:rPr>
                                  </w:pPr>
                                  <w:r>
                                    <w:rPr>
                                      <w:b/>
                                      <w:bCs/>
                                      <w:sz w:val="20"/>
                                    </w:rPr>
                                    <w:t>(RT)</w:t>
                                  </w:r>
                                </w:p>
                              </w:txbxContent>
                            </wps:txbx>
                            <wps:bodyPr rot="0" vert="horz" wrap="square" lIns="91440" tIns="45720" rIns="91440" bIns="45720" anchor="t" anchorCtr="0" upright="1">
                              <a:noAutofit/>
                            </wps:bodyPr>
                          </wps:wsp>
                          <wps:wsp>
                            <wps:cNvPr id="36" name="Line 96"/>
                            <wps:cNvCnPr>
                              <a:cxnSpLocks noChangeShapeType="1"/>
                            </wps:cNvCnPr>
                            <wps:spPr bwMode="auto">
                              <a:xfrm>
                                <a:off x="3057" y="3755"/>
                                <a:ext cx="4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97"/>
                            <wps:cNvCnPr>
                              <a:cxnSpLocks noChangeShapeType="1"/>
                            </wps:cNvCnPr>
                            <wps:spPr bwMode="auto">
                              <a:xfrm flipV="1">
                                <a:off x="5082" y="3752"/>
                                <a:ext cx="6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98"/>
                            <wps:cNvCnPr>
                              <a:cxnSpLocks noChangeShapeType="1"/>
                            </wps:cNvCnPr>
                            <wps:spPr bwMode="auto">
                              <a:xfrm flipV="1">
                                <a:off x="7558" y="3838"/>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9"/>
                            <wps:cNvCnPr>
                              <a:cxnSpLocks noChangeShapeType="1"/>
                            </wps:cNvCnPr>
                            <wps:spPr bwMode="auto">
                              <a:xfrm flipV="1">
                                <a:off x="9312" y="4245"/>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00"/>
                            <wps:cNvCnPr>
                              <a:cxnSpLocks noChangeShapeType="1"/>
                            </wps:cNvCnPr>
                            <wps:spPr bwMode="auto">
                              <a:xfrm flipH="1" flipV="1">
                                <a:off x="4232" y="1842"/>
                                <a:ext cx="48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1"/>
                            <wps:cNvCnPr>
                              <a:cxnSpLocks noChangeShapeType="1"/>
                            </wps:cNvCnPr>
                            <wps:spPr bwMode="auto">
                              <a:xfrm>
                                <a:off x="7726" y="2698"/>
                                <a:ext cx="409" cy="514"/>
                              </a:xfrm>
                              <a:prstGeom prst="line">
                                <a:avLst/>
                              </a:prstGeom>
                              <a:noFill/>
                              <a:ln w="28575">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 name="Text Box 102"/>
                            <wps:cNvSpPr txBox="1">
                              <a:spLocks noChangeArrowheads="1"/>
                            </wps:cNvSpPr>
                            <wps:spPr bwMode="auto">
                              <a:xfrm>
                                <a:off x="6056" y="2012"/>
                                <a:ext cx="1670" cy="686"/>
                              </a:xfrm>
                              <a:prstGeom prst="rect">
                                <a:avLst/>
                              </a:prstGeom>
                              <a:solidFill>
                                <a:srgbClr val="FF0000">
                                  <a:alpha val="45000"/>
                                </a:srgbClr>
                              </a:solidFill>
                              <a:ln w="38100">
                                <a:solidFill>
                                  <a:srgbClr val="FF0000"/>
                                </a:solidFill>
                                <a:prstDash val="sysDot"/>
                                <a:miter lim="800000"/>
                                <a:headEnd/>
                                <a:tailEnd/>
                              </a:ln>
                            </wps:spPr>
                            <wps:txbx>
                              <w:txbxContent>
                                <w:p w:rsidR="00E635E1" w:rsidRDefault="00E635E1" w:rsidP="007600EB">
                                  <w:pPr>
                                    <w:jc w:val="center"/>
                                    <w:rPr>
                                      <w:b/>
                                      <w:bCs/>
                                      <w:sz w:val="20"/>
                                      <w:rtl/>
                                      <w:lang w:bidi="ar-JO"/>
                                    </w:rPr>
                                  </w:pPr>
                                  <w:r>
                                    <w:rPr>
                                      <w:b/>
                                      <w:bCs/>
                                      <w:sz w:val="20"/>
                                    </w:rPr>
                                    <w:t>Emergency Experience</w:t>
                                  </w:r>
                                </w:p>
                              </w:txbxContent>
                            </wps:txbx>
                            <wps:bodyPr rot="0" vert="horz" wrap="square" lIns="91440" tIns="45720" rIns="91440" bIns="45720" anchor="t" anchorCtr="0" upright="1">
                              <a:noAutofit/>
                            </wps:bodyPr>
                          </wps:wsp>
                          <wps:wsp>
                            <wps:cNvPr id="43" name="Line 103"/>
                            <wps:cNvCnPr>
                              <a:cxnSpLocks noChangeShapeType="1"/>
                            </wps:cNvCnPr>
                            <wps:spPr bwMode="auto">
                              <a:xfrm>
                                <a:off x="9106" y="1842"/>
                                <a:ext cx="0" cy="1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4"/>
                            <wps:cNvCnPr>
                              <a:cxnSpLocks noChangeShapeType="1"/>
                            </wps:cNvCnPr>
                            <wps:spPr bwMode="auto">
                              <a:xfrm>
                                <a:off x="6423" y="2698"/>
                                <a:ext cx="0" cy="514"/>
                              </a:xfrm>
                              <a:prstGeom prst="line">
                                <a:avLst/>
                              </a:prstGeom>
                              <a:noFill/>
                              <a:ln w="28575">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Text Box 105"/>
                            <wps:cNvSpPr txBox="1">
                              <a:spLocks noChangeArrowheads="1"/>
                            </wps:cNvSpPr>
                            <wps:spPr bwMode="auto">
                              <a:xfrm>
                                <a:off x="4493" y="4930"/>
                                <a:ext cx="1618" cy="916"/>
                              </a:xfrm>
                              <a:prstGeom prst="rect">
                                <a:avLst/>
                              </a:prstGeom>
                              <a:solidFill>
                                <a:srgbClr val="DDDDDD">
                                  <a:alpha val="80000"/>
                                </a:srgbClr>
                              </a:solidFill>
                              <a:ln w="9525">
                                <a:solidFill>
                                  <a:srgbClr val="000000"/>
                                </a:solidFill>
                                <a:miter lim="800000"/>
                                <a:headEnd/>
                                <a:tailEnd/>
                              </a:ln>
                            </wps:spPr>
                            <wps:txbx>
                              <w:txbxContent>
                                <w:p w:rsidR="00E635E1" w:rsidRDefault="00E635E1" w:rsidP="007600EB">
                                  <w:pPr>
                                    <w:spacing w:before="0" w:after="0"/>
                                    <w:jc w:val="center"/>
                                    <w:rPr>
                                      <w:b/>
                                      <w:bCs/>
                                      <w:sz w:val="20"/>
                                      <w:rtl/>
                                      <w:lang w:bidi="ar-JO"/>
                                    </w:rPr>
                                  </w:pPr>
                                  <w:r>
                                    <w:rPr>
                                      <w:b/>
                                      <w:bCs/>
                                      <w:sz w:val="20"/>
                                    </w:rPr>
                                    <w:t>IFS Management</w:t>
                                  </w:r>
                                </w:p>
                              </w:txbxContent>
                            </wps:txbx>
                            <wps:bodyPr rot="0" vert="horz" wrap="square" lIns="91440" tIns="45720" rIns="91440" bIns="45720" anchor="t" anchorCtr="0" upright="1">
                              <a:noAutofit/>
                            </wps:bodyPr>
                          </wps:wsp>
                          <wps:wsp>
                            <wps:cNvPr id="46" name="Line 106"/>
                            <wps:cNvCnPr>
                              <a:cxnSpLocks noChangeShapeType="1"/>
                            </wps:cNvCnPr>
                            <wps:spPr bwMode="auto">
                              <a:xfrm flipV="1">
                                <a:off x="4639" y="4183"/>
                                <a:ext cx="0" cy="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07"/>
                            <wps:cNvCnPr>
                              <a:cxnSpLocks noChangeShapeType="1"/>
                            </wps:cNvCnPr>
                            <wps:spPr bwMode="auto">
                              <a:xfrm>
                                <a:off x="7415" y="4487"/>
                                <a:ext cx="0" cy="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108"/>
                            <wps:cNvSpPr txBox="1">
                              <a:spLocks noChangeArrowheads="1"/>
                            </wps:cNvSpPr>
                            <wps:spPr bwMode="auto">
                              <a:xfrm>
                                <a:off x="3513" y="1470"/>
                                <a:ext cx="2300" cy="81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E1" w:rsidRDefault="00E635E1" w:rsidP="007600EB">
                                  <w:pPr>
                                    <w:rPr>
                                      <w:color w:val="993300"/>
                                      <w:sz w:val="20"/>
                                      <w:rtl/>
                                      <w:lang w:bidi="ar-JO"/>
                                    </w:rPr>
                                  </w:pPr>
                                  <w:r w:rsidRPr="003D1DF1">
                                    <w:rPr>
                                      <w:color w:val="993300"/>
                                      <w:sz w:val="20"/>
                                    </w:rPr>
                                    <w:t>Flight Duty Loop</w:t>
                                  </w:r>
                                </w:p>
                                <w:p w:rsidR="00E635E1" w:rsidRDefault="00E635E1" w:rsidP="007600EB">
                                  <w:pPr>
                                    <w:rPr>
                                      <w:lang w:bidi="ar-JO"/>
                                    </w:rPr>
                                  </w:pPr>
                                </w:p>
                              </w:txbxContent>
                            </wps:txbx>
                            <wps:bodyPr rot="0" vert="horz" wrap="square" lIns="91440" tIns="45720" rIns="91440" bIns="45720" anchor="t" anchorCtr="0" upright="1">
                              <a:noAutofit/>
                            </wps:bodyPr>
                          </wps:wsp>
                          <wps:wsp>
                            <wps:cNvPr id="49" name="Text Box 109"/>
                            <wps:cNvSpPr txBox="1">
                              <a:spLocks noChangeArrowheads="1"/>
                            </wps:cNvSpPr>
                            <wps:spPr bwMode="auto">
                              <a:xfrm>
                                <a:off x="6042" y="5428"/>
                                <a:ext cx="231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E1" w:rsidRPr="003D1DF1" w:rsidRDefault="00E635E1" w:rsidP="007600EB">
                                  <w:pPr>
                                    <w:rPr>
                                      <w:color w:val="993300"/>
                                    </w:rPr>
                                  </w:pPr>
                                  <w:r w:rsidRPr="003D1DF1">
                                    <w:rPr>
                                      <w:color w:val="993300"/>
                                    </w:rPr>
                                    <w:t xml:space="preserve">Management </w:t>
                                  </w:r>
                                  <w:smartTag w:uri="urn:schemas-microsoft-com:office:smarttags" w:element="place">
                                    <w:r w:rsidRPr="003D1DF1">
                                      <w:rPr>
                                        <w:color w:val="993300"/>
                                      </w:rPr>
                                      <w:t>Loop</w:t>
                                    </w:r>
                                  </w:smartTag>
                                </w:p>
                              </w:txbxContent>
                            </wps:txbx>
                            <wps:bodyPr rot="0" vert="horz" wrap="square" lIns="91440" tIns="45720" rIns="91440" bIns="45720" anchor="t" anchorCtr="0" upright="1">
                              <a:noAutofit/>
                            </wps:bodyPr>
                          </wps:wsp>
                          <wps:wsp>
                            <wps:cNvPr id="50" name="Line 110"/>
                            <wps:cNvCnPr>
                              <a:cxnSpLocks noChangeShapeType="1"/>
                            </wps:cNvCnPr>
                            <wps:spPr bwMode="auto">
                              <a:xfrm>
                                <a:off x="4236" y="1835"/>
                                <a:ext cx="0" cy="1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11"/>
                            <wps:cNvSpPr txBox="1">
                              <a:spLocks noChangeArrowheads="1"/>
                            </wps:cNvSpPr>
                            <wps:spPr bwMode="auto">
                              <a:xfrm>
                                <a:off x="8175" y="3247"/>
                                <a:ext cx="1743" cy="1021"/>
                              </a:xfrm>
                              <a:prstGeom prst="rect">
                                <a:avLst/>
                              </a:prstGeom>
                              <a:solidFill>
                                <a:srgbClr val="99CC00">
                                  <a:alpha val="80000"/>
                                </a:srgbClr>
                              </a:solidFill>
                              <a:ln w="9525">
                                <a:solidFill>
                                  <a:srgbClr val="000000"/>
                                </a:solidFill>
                                <a:miter lim="800000"/>
                                <a:headEnd/>
                                <a:tailEnd/>
                              </a:ln>
                            </wps:spPr>
                            <wps:txbx>
                              <w:txbxContent>
                                <w:p w:rsidR="00E635E1" w:rsidRPr="00743B1E" w:rsidRDefault="00E635E1" w:rsidP="007600EB">
                                  <w:pPr>
                                    <w:jc w:val="center"/>
                                    <w:rPr>
                                      <w:b/>
                                      <w:bCs/>
                                    </w:rPr>
                                  </w:pPr>
                                  <w:r w:rsidRPr="00743B1E">
                                    <w:rPr>
                                      <w:b/>
                                      <w:bCs/>
                                    </w:rPr>
                                    <w:t>Expert Flight Safety Schema</w:t>
                                  </w:r>
                                </w:p>
                              </w:txbxContent>
                            </wps:txbx>
                            <wps:bodyPr rot="0" vert="horz" wrap="square" lIns="91440" tIns="45720" rIns="91440" bIns="45720" anchor="t" anchorCtr="0" upright="1">
                              <a:noAutofit/>
                            </wps:bodyPr>
                          </wps:wsp>
                          <wps:wsp>
                            <wps:cNvPr id="52" name="Text Box 112"/>
                            <wps:cNvSpPr txBox="1">
                              <a:spLocks noChangeArrowheads="1"/>
                            </wps:cNvSpPr>
                            <wps:spPr bwMode="auto">
                              <a:xfrm>
                                <a:off x="5746" y="3240"/>
                                <a:ext cx="1800" cy="1260"/>
                              </a:xfrm>
                              <a:prstGeom prst="rect">
                                <a:avLst/>
                              </a:prstGeom>
                              <a:solidFill>
                                <a:srgbClr val="FF9900"/>
                              </a:solidFill>
                              <a:ln w="9525">
                                <a:solidFill>
                                  <a:srgbClr val="000000"/>
                                </a:solidFill>
                                <a:miter lim="800000"/>
                                <a:headEnd/>
                                <a:tailEnd/>
                              </a:ln>
                            </wps:spPr>
                            <wps:txbx>
                              <w:txbxContent>
                                <w:p w:rsidR="00E635E1" w:rsidRPr="00E57C8E" w:rsidRDefault="00E635E1" w:rsidP="007600EB">
                                  <w:pPr>
                                    <w:spacing w:before="0" w:after="0"/>
                                    <w:jc w:val="center"/>
                                    <w:rPr>
                                      <w:sz w:val="20"/>
                                    </w:rPr>
                                  </w:pPr>
                                  <w:r w:rsidRPr="00E57C8E">
                                    <w:rPr>
                                      <w:sz w:val="20"/>
                                    </w:rPr>
                                    <w:t>In-Flight</w:t>
                                  </w:r>
                                </w:p>
                                <w:p w:rsidR="00E635E1" w:rsidRDefault="00E635E1" w:rsidP="007600EB">
                                  <w:pPr>
                                    <w:spacing w:before="0" w:after="0"/>
                                    <w:jc w:val="center"/>
                                    <w:rPr>
                                      <w:sz w:val="20"/>
                                    </w:rPr>
                                  </w:pPr>
                                  <w:r w:rsidRPr="00E57C8E">
                                    <w:rPr>
                                      <w:sz w:val="20"/>
                                    </w:rPr>
                                    <w:t>Preparedness</w:t>
                                  </w:r>
                                </w:p>
                                <w:p w:rsidR="00E635E1" w:rsidRDefault="00E635E1" w:rsidP="007600EB">
                                  <w:pPr>
                                    <w:spacing w:before="0" w:after="0"/>
                                    <w:jc w:val="center"/>
                                    <w:rPr>
                                      <w:sz w:val="20"/>
                                    </w:rPr>
                                  </w:pPr>
                                  <w:r>
                                    <w:rPr>
                                      <w:sz w:val="20"/>
                                    </w:rPr>
                                    <w:t>(IFP)</w:t>
                                  </w:r>
                                </w:p>
                                <w:p w:rsidR="00E635E1" w:rsidRPr="00E57C8E" w:rsidRDefault="00E635E1" w:rsidP="007600EB">
                                  <w:pPr>
                                    <w:spacing w:before="0" w:after="0"/>
                                    <w:jc w:val="center"/>
                                    <w:rPr>
                                      <w:sz w:val="20"/>
                                    </w:rPr>
                                  </w:pPr>
                                  <w:r>
                                    <w:rPr>
                                      <w:sz w:val="20"/>
                                    </w:rPr>
                                    <w:t>(Full Alert Mode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F44A32E" id="Group 25" o:spid="_x0000_s1026" style="position:absolute;margin-left:1.2pt;margin-top:11.4pt;width:405pt;height:270pt;z-index:251663360" coordorigin="1440,1470" coordsize="8600,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u3ggAAMdOAAAOAAAAZHJzL2Uyb0RvYy54bWzsXFtzm0YUfu9M/wPDuyIWlpsmSiaRrLQz&#10;aZuZpH3HEpKYIqCAI7mZ/veePWdZLrLs2LGpnOIHG5mLluU73/nOZXn5+rCLtc9hXkRpMtXZC0PX&#10;wmSZrqJkM9V//7QYebpWlEGyCuI0Caf6dVjor1/9+MPLfTYJzXSbxqsw1+AiSTHZZ1N9W5bZZDwu&#10;lttwFxQv0ixMYOc6zXdBCR/zzXiVB3u4+i4em4bhjPdpvsrydBkWBfx3Tjv1V3j99Tpclr+t10VY&#10;avFUh7GV+DvH35fi9/jVy2CyyYNsGy3lMIIHjGIXRAl8qbrUPCgD7SqPji61i5Z5WqTr8sUy3Y3T&#10;9TpahngPcDfM6NzNuzy9yvBeNpP9JlPTBFPbmacHX3b56+cPuRatprpp61oS7OAZ4ddq8BkmZ59t&#10;JnDMuzz7mH3I6Q5h8326/LOA3ePufvF5Qwdrl/tf0hVcL7gqU5ycwzrfiUvAbWsHfAbX6hmEh1Jb&#10;wj9txi3bgEe1hH0WN30DPuBTWm7hUYrzGOewH3Yz7qp9F/J8z6lOtg3PEmeOgwl9MQ5WDk7cGSCu&#10;qCe1+LZJ/bgNshCfVSEmrJpUp5rU91ESap5Dc4qHzBKa0OUhkROqJelsGySbEC/26TqDyWN4C2Kw&#10;cFU6RXwo4GncPMHaOo6yn8SJuPWH2GpMOjctEyePM5qeYFJNvZx05plea96CSZYX5bsw3WliY6rH&#10;cC94zeDz+6KkKa4OEV+VpIsojvGhxYm2n+q+DWgSe4o0jlZiJ37IN5ezONc+B8I48Ud+b+swMIJk&#10;hRfbhsHqQm6XQRTDtlbiLJV5BPMWh7r4tl240rU4BD4SWzS8OBHfCHcKA5ZbZJ9ffMO/8C48PuKm&#10;czHixnw+erOY8ZGzYK49t+az2Zz9IwbP+GQbrVZhIsZfcQXjXwcbyVpk5Yot1ESN21dH0MJgq784&#10;aIAvPXfC7mW6uv6Qi7uTSCZjRXwru61g6FYwJNv2XDEtXdsV7PVYtn2DjVYwO7bQYPIsbRtcGxHm&#10;GyA4NFnNQ8tpWSvc3FMZuACy5FKHMTB44ESbW5ITq/lmlsGJTnGHosMjsy7KPIg223KWJgk4zjQn&#10;4hiM/JkYuV/hURq5Pxj5PcTWzQ4cjEkaOTpwH03oae27YdW+ZYCAEFbt2sgsR87a5Fx6uEpcVY74&#10;/Hz1/8oT9yAuLWB8ckCfBNe/TQ+aj3JR4lModq08wP8rDViQcFc6802ep3uhqkD8toQmiX1xndNC&#10;s4FTx/WAfACnIL5Rc9c4NR2QmSjmbfsO/5OD07lNVrZUYdEUjwv8kYbQOox0X0NnTW5RgszkxlvT&#10;Hy0czx3xBbdHvmt4I4P5b33H4D6fL9pKEDmBglcQcA9Vgt+skHdRCUF0HO2muqdkdDC5QS6jCSoh&#10;K4ZfSczq701SszxcHlAvFhNSnVqeQhgA1AiRP2xs0/xvUN4QRU/14q+rIAcdHv+cAKh80oElfuC2&#10;a8I5eXPPZXNPkCzhUlO91DXanJUUql9luRAmFYyTVCiudYShhwApjaothfswQIikyADJOZjkcBuh&#10;2hOKv9ujO8cAPQjPrDZECIdlgHeHGcbnE90NHqORC7tXjueEmgEq7noM5OvePYaKDy3L6ACVOQzC&#10;VZH+8WGDIHBC3DzcY8zxh7xNnG0DSkIge1ZuhBwM8mLHpfRN2OizOuG/4GTM2ymPP1BzI/FmQcjb&#10;RToq5d6RbnGHEm6W6WBKtaZk5gh/OCAdM3k1159CunKvA9KbSFd5+zoKkKl7FCL9RQGeY1IOirsc&#10;E90NpHMGAYJAOjNMzEucTkMNpA6Fj0pJDlBvQr1dTfF7qKY0glzLsEGXAIQt1+4QOTfACAW6n4+0&#10;HgonrcJJH9GiKsJQtChrME8eLXYrgBAISkHi2uhSa5p2DKhpDDh+xgXAPnCs6l6E475KXl0cAwvD&#10;SAQfe1YnOW674CkGHA84pq6gE8kQVS8jHMtyWe987FtMdmSYvKMrZHRoU4rktGQ+o5TdoCv61hWi&#10;GaqRhWbULyXzHP9xkxHzeEdicM/9um6EM8J0nZpAqfR9txD1oCC4Klwi8zKit6dFbCOQc12Tquqm&#10;43eEAzdkmgLaEG9PPd8bnqYHRfw7muAWC1G+qxLQzV45UdWfB8WW8tTFdTFPS3FcMBna46inr5M1&#10;pMSJsFyBK2j0pK65J+/4BL7rJp4h5VWlc6CHs798nGPYEucGKAwEi+oJc6BzFhWyQz2pp7XFw9Nx&#10;Es0CpEFdY+HQ3asgfnuNxfKEMxPntwowndL//U3mnvXyW8svqqgwZOoamTquCo2S4VVCU3UxP3pp&#10;vMHwPpN9U8f6Q8KeWT4O6TTu703wT9fkPOiPxy2DQ89cWzErI+4FnQ704GPi4lh/VAHf81UfXxX/&#10;BZOhff+m9v0+tPdxuZBB9QIopvfKOOfAwSKBB39REdSJaOgBkZlon2GV5zRPP1yffD89IOr5DSKk&#10;KULa5UKhCWqYP2VipJup5o5F7bEn11y5/I5OpzNSI1/F8GCvtzTafk9Lrvrg7HblkBk9lA4batrl&#10;DJyG4GlI3rXjSKlXfCrAnCbpM4LvIKYfWUyrcqDqP2JQRq6Ztr+Eh2UzEhT1wuAq4WFakEnAhAfk&#10;FMTgTmP1LkGhFhNUFKf+cbakd1v6xBELpmlCGoedXJBKGg2Xtn/xhwUTckFxJ/momnOV4hiEWVOY&#10;qcprgzKa5df+KAOW9VDx1ea06r2OQUwLmAIpwzbvKAb8zyhDrLYaKAM485HXWGE/v9J2A2U0KAPW&#10;DrZSduTEeysZQsaOSinw0oybezQgoYw7TuuKM9LAQwjXd1nQViXv2uXRCr3e024evNeE+uZMyjrU&#10;Lo+5onAj2/RpQXD18pyjt0Xc5fMaYhLqd83Vur4/m8m6XqMu+BzXXqkwZ+DqJlffUAKnAnTvWLfF&#10;ShTsEYWl3UKyNLAOgJNYN50qAnr0dYaLhQ9vsDoWSyJ2PKtlhEp+PxcoQ8glXzWGPR7tbXhbGob4&#10;8s1u4nVszc94Rv3+uVf/AgAA//8DAFBLAwQUAAYACAAAACEAViaTsNwAAAAIAQAADwAAAGRycy9k&#10;b3ducmV2LnhtbExPTUvDQBC9C/6HZQRvdpNoS4nZlFLUUxFsBfE2TaZJaHY2ZLdJ+u+dnuxpeB+8&#10;eS9bTbZVA/W+cWwgnkWgiAtXNlwZ+N6/Py1B+YBcYuuYDFzIwyq/v8swLd3IXzTsQqUkhH2KBuoQ&#10;ulRrX9Rk0c9cRyza0fUWg8C+0mWPo4TbVidRtNAWG5YPNXa0qak47c7WwMeI4/o5fhu2p+Pm8ruf&#10;f/5sYzLm8WFav4IKNIV/M1zrS3XIpdPBnbn0qjWQvIhRTiIDRF7GV+JgYL4QRueZvh2Q/wEAAP//&#10;AwBQSwECLQAUAAYACAAAACEAtoM4kv4AAADhAQAAEwAAAAAAAAAAAAAAAAAAAAAAW0NvbnRlbnRf&#10;VHlwZXNdLnhtbFBLAQItABQABgAIAAAAIQA4/SH/1gAAAJQBAAALAAAAAAAAAAAAAAAAAC8BAABf&#10;cmVscy8ucmVsc1BLAQItABQABgAIAAAAIQBk/tlu3ggAAMdOAAAOAAAAAAAAAAAAAAAAAC4CAABk&#10;cnMvZTJvRG9jLnhtbFBLAQItABQABgAIAAAAIQBWJpOw3AAAAAgBAAAPAAAAAAAAAAAAAAAAADgL&#10;AABkcnMvZG93bnJldi54bWxQSwUGAAAAAAQABADzAAAAQQwAAAAA&#10;">
                <v:line id="Line 86" o:spid="_x0000_s1027" style="position:absolute;flip:x y;visibility:visible;mso-wrap-style:square" from="4232,4183" to="4232,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MasQAAADbAAAADwAAAGRycy9kb3ducmV2LnhtbESPQWvCQBSE70L/w/IKvZmNHoKmriJC&#10;oQcv2qLXl+xrNpp9m2TXmP77riD0OMzMN8xqM9pGDNT72rGCWZKCIC6drrlS8P31MV2A8AFZY+OY&#10;FPySh836ZbLCXLs7H2g4hkpECPscFZgQ2lxKXxqy6BPXEkfvx/UWQ5R9JXWP9wi3jZynaSYt1hwX&#10;DLa0M1RejzerYChus8tpf7j64twti4XpdvsuU+rtddy+gwg0hv/ws/2pFcw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4xqxAAAANsAAAAPAAAAAAAAAAAA&#10;AAAAAKECAABkcnMvZG93bnJldi54bWxQSwUGAAAAAAQABAD5AAAAkgMAAAAA&#10;">
                  <v:stroke endarrow="block"/>
                </v:line>
                <v:group id="Group 87" o:spid="_x0000_s1028" style="position:absolute;left:1440;top:1470;width:8600;height:5083" coordorigin="1440,1470" coordsize="8600,5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2" coordsize="21600,21600" o:spt="32" o:oned="t" path="m,l21600,21600e" filled="f">
                    <v:path arrowok="t" fillok="f" o:connecttype="none"/>
                    <o:lock v:ext="edit" shapetype="t"/>
                  </v:shapetype>
                  <v:shape id="AutoShape 88" o:spid="_x0000_s1029" type="#_x0000_t32" style="position:absolute;left:6111;top:5430;width:13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group id="Group 89" o:spid="_x0000_s1030" style="position:absolute;left:1440;top:1470;width:8600;height:5083" coordorigin="1440,1470" coordsize="8600,5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90" o:spid="_x0000_s1031" style="position:absolute;visibility:visible;mso-wrap-style:square" from="9306,5758" to="9306,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type id="_x0000_t202" coordsize="21600,21600" o:spt="202" path="m,l,21600r21600,l21600,xe">
                      <v:stroke joinstyle="miter"/>
                      <v:path gradientshapeok="t" o:connecttype="rect"/>
                    </v:shapetype>
                    <v:shape id="Text Box 91" o:spid="_x0000_s1032" type="#_x0000_t202" style="position:absolute;left:6789;top:6003;width:2683;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E635E1" w:rsidRPr="003D1DF1" w:rsidRDefault="00E635E1" w:rsidP="007600EB">
                            <w:pPr>
                              <w:rPr>
                                <w:noProof/>
                                <w:color w:val="993300"/>
                                <w:rtl/>
                                <w:lang w:bidi="ar-JO"/>
                              </w:rPr>
                            </w:pPr>
                            <w:r w:rsidRPr="003D1DF1">
                              <w:rPr>
                                <w:noProof/>
                                <w:color w:val="993300"/>
                              </w:rPr>
                              <w:t xml:space="preserve">Certification </w:t>
                            </w:r>
                            <w:smartTag w:uri="urn:schemas-microsoft-com:office:smarttags" w:element="place">
                              <w:r w:rsidRPr="003D1DF1">
                                <w:rPr>
                                  <w:noProof/>
                                  <w:color w:val="993300"/>
                                </w:rPr>
                                <w:t>Loop</w:t>
                              </w:r>
                            </w:smartTag>
                          </w:p>
                        </w:txbxContent>
                      </v:textbox>
                    </v:shape>
                    <v:line id="Line 92" o:spid="_x0000_s1033" style="position:absolute;flip:x y;visibility:visible;mso-wrap-style:square" from="4232,6011" to="9312,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nBMMAAADbAAAADwAAAGRycy9kb3ducmV2LnhtbESPT4vCMBTE74LfITxhL7KmVpFSjSKC&#10;sifFf+z10TzbYvNSmmi7++nNwoLHYWZ+wyxWnanEkxpXWlYwHkUgiDOrS84VXM7bzwSE88gaK8uk&#10;4IccrJb93gJTbVs+0vPkcxEg7FJUUHhfp1K6rCCDbmRr4uDdbGPQB9nkUjfYBripZBxFM2mw5LBQ&#10;YE2bgrL76WEUIO9/J0k7pqnc0beL94fh+npT6mPQrecgPHX+Hf5vf2kFkxj+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5wTDAAAA2wAAAA8AAAAAAAAAAAAA&#10;AAAAoQIAAGRycy9kb3ducmV2LnhtbFBLBQYAAAAABAAEAPkAAACRAwAAAAA=&#10;"/>
                    <v:shape id="Text Box 93" o:spid="_x0000_s1034" type="#_x0000_t202" style="position:absolute;left:1440;top:3301;width:161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0UsQA&#10;AADbAAAADwAAAGRycy9kb3ducmV2LnhtbESPQWvCQBSE7wX/w/KEXqRurBBK6ioiCCmk0Fov3h7Z&#10;ZzaafRuya5L++25B8DjMzDfMajPaRvTU+dqxgsU8AUFcOl1zpeD4s395A+EDssbGMSn4JQ+b9eRp&#10;hZl2A39TfwiViBD2GSowIbSZlL40ZNHPXUscvbPrLIYou0rqDocIt418TZJUWqw5LhhsaWeovB5u&#10;VsGHKWS62JtL+qm/ZqdZ6Yqgc6Wep+P2HUSgMTzC93auFSyX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dFLEAAAA2wAAAA8AAAAAAAAAAAAAAAAAmAIAAGRycy9k&#10;b3ducmV2LnhtbFBLBQYAAAAABAAEAPUAAACJAwAAAAA=&#10;" fillcolor="#ddd">
                      <v:fill opacity="52428f"/>
                      <v:textbox>
                        <w:txbxContent>
                          <w:p w:rsidR="00E635E1" w:rsidRPr="00E80444" w:rsidRDefault="00E635E1" w:rsidP="007600EB">
                            <w:pPr>
                              <w:spacing w:before="0" w:after="0"/>
                              <w:jc w:val="center"/>
                              <w:rPr>
                                <w:rtl/>
                                <w:lang w:bidi="ar-JO"/>
                              </w:rPr>
                            </w:pPr>
                            <w:r w:rsidRPr="00E80444">
                              <w:t>Basic Safety Training</w:t>
                            </w:r>
                          </w:p>
                          <w:p w:rsidR="00E635E1" w:rsidRDefault="00E635E1" w:rsidP="007600EB">
                            <w:pPr>
                              <w:spacing w:before="0" w:after="0"/>
                              <w:jc w:val="center"/>
                              <w:rPr>
                                <w:b/>
                                <w:bCs/>
                                <w:sz w:val="20"/>
                                <w:rtl/>
                                <w:lang w:bidi="ar-JO"/>
                              </w:rPr>
                            </w:pPr>
                            <w:r>
                              <w:rPr>
                                <w:b/>
                                <w:bCs/>
                                <w:sz w:val="20"/>
                              </w:rPr>
                              <w:t>(BST)</w:t>
                            </w:r>
                          </w:p>
                        </w:txbxContent>
                      </v:textbox>
                    </v:shape>
                    <v:shape id="Text Box 94" o:spid="_x0000_s1035" type="#_x0000_t202" style="position:absolute;left:3462;top:3265;width:162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sJsUA&#10;AADbAAAADwAAAGRycy9kb3ducmV2LnhtbESPQWvCQBSE70L/w/IKvUjdpEooqWsoQiAFBbW99PbI&#10;vmbTZt+G7Krpv3cFweMwM98wy2K0nTjR4FvHCtJZAoK4drrlRsHXZ/n8CsIHZI2dY1LwTx6K1cNk&#10;ibl2Z97T6RAaESHsc1RgQuhzKX1tyKKfuZ44ej9usBiiHBqpBzxHuO3kS5Jk0mLLccFgT2tD9d/h&#10;aBV8mI3M0tL8Zlu9m35Pa7cJulLq6XF8fwMRaAz38K1daQXzBVy/x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OwmxQAAANsAAAAPAAAAAAAAAAAAAAAAAJgCAABkcnMv&#10;ZG93bnJldi54bWxQSwUGAAAAAAQABAD1AAAAigMAAAAA&#10;" fillcolor="#ddd">
                      <v:fill opacity="52428f"/>
                      <v:textbox>
                        <w:txbxContent>
                          <w:p w:rsidR="00E635E1" w:rsidRPr="00E80444" w:rsidRDefault="00E635E1" w:rsidP="007600EB">
                            <w:pPr>
                              <w:spacing w:before="0" w:after="0"/>
                              <w:jc w:val="center"/>
                              <w:rPr>
                                <w:rtl/>
                                <w:lang w:bidi="ar-JO"/>
                              </w:rPr>
                            </w:pPr>
                            <w:r w:rsidRPr="00E80444">
                              <w:t>Pre-Flight Briefing</w:t>
                            </w:r>
                          </w:p>
                          <w:p w:rsidR="00E635E1" w:rsidRPr="00E80444" w:rsidRDefault="00E635E1" w:rsidP="007600EB">
                            <w:pPr>
                              <w:spacing w:before="0" w:after="0"/>
                              <w:jc w:val="center"/>
                            </w:pPr>
                            <w:r w:rsidRPr="00E80444">
                              <w:rPr>
                                <w:sz w:val="20"/>
                              </w:rPr>
                              <w:t>(PFB</w:t>
                            </w:r>
                            <w:r w:rsidRPr="00E80444">
                              <w:t>)</w:t>
                            </w:r>
                          </w:p>
                        </w:txbxContent>
                      </v:textbox>
                    </v:shape>
                    <v:shape id="Text Box 95" o:spid="_x0000_s1036" type="#_x0000_t202" style="position:absolute;left:8621;top:4746;width:141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JvcUA&#10;AADbAAAADwAAAGRycy9kb3ducmV2LnhtbESPQWvCQBSE70L/w/IKvUjdpGIoqWsoQiAFBbW99PbI&#10;vmbTZt+G7Krpv3cFweMwM98wy2K0nTjR4FvHCtJZAoK4drrlRsHXZ/n8CsIHZI2dY1LwTx6K1cNk&#10;ibl2Z97T6RAaESHsc1RgQuhzKX1tyKKfuZ44ej9usBiiHBqpBzxHuO3kS5Jk0mLLccFgT2tD9d/h&#10;aBV8mI3M0tL8Zlu9m35Pa7cJulLq6XF8fwMRaAz38K1daQXzBVy/x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Em9xQAAANsAAAAPAAAAAAAAAAAAAAAAAJgCAABkcnMv&#10;ZG93bnJldi54bWxQSwUGAAAAAAQABAD1AAAAigMAAAAA&#10;" fillcolor="#ddd">
                      <v:fill opacity="52428f"/>
                      <v:textbox>
                        <w:txbxContent>
                          <w:p w:rsidR="00E635E1" w:rsidRPr="00904652" w:rsidRDefault="00E635E1" w:rsidP="007600EB">
                            <w:pPr>
                              <w:spacing w:before="0" w:after="0"/>
                              <w:jc w:val="center"/>
                              <w:rPr>
                                <w:b/>
                                <w:bCs/>
                              </w:rPr>
                            </w:pPr>
                            <w:r w:rsidRPr="00904652">
                              <w:rPr>
                                <w:b/>
                                <w:bCs/>
                              </w:rPr>
                              <w:t xml:space="preserve">Refresher </w:t>
                            </w:r>
                          </w:p>
                          <w:p w:rsidR="00E635E1" w:rsidRPr="00904652" w:rsidRDefault="00E635E1" w:rsidP="007600EB">
                            <w:pPr>
                              <w:spacing w:before="0" w:after="0"/>
                              <w:jc w:val="center"/>
                              <w:rPr>
                                <w:b/>
                                <w:bCs/>
                              </w:rPr>
                            </w:pPr>
                            <w:r w:rsidRPr="00904652">
                              <w:rPr>
                                <w:b/>
                                <w:bCs/>
                              </w:rPr>
                              <w:t>Training</w:t>
                            </w:r>
                          </w:p>
                          <w:p w:rsidR="00E635E1" w:rsidRDefault="00E635E1" w:rsidP="007600EB">
                            <w:pPr>
                              <w:spacing w:before="0" w:after="0"/>
                              <w:jc w:val="center"/>
                              <w:rPr>
                                <w:b/>
                                <w:bCs/>
                                <w:sz w:val="20"/>
                              </w:rPr>
                            </w:pPr>
                            <w:r>
                              <w:rPr>
                                <w:b/>
                                <w:bCs/>
                                <w:sz w:val="20"/>
                              </w:rPr>
                              <w:t>(RT)</w:t>
                            </w:r>
                          </w:p>
                        </w:txbxContent>
                      </v:textbox>
                    </v:shape>
                    <v:line id="Line 96" o:spid="_x0000_s1037" style="position:absolute;visibility:visible;mso-wrap-style:square" from="3057,3755" to="3462,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97" o:spid="_x0000_s1038" style="position:absolute;flip:y;visibility:visible;mso-wrap-style:square" from="5082,3752" to="569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line id="Line 98" o:spid="_x0000_s1039" style="position:absolute;flip:y;visibility:visible;mso-wrap-style:square" from="7558,3838" to="8134,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99" o:spid="_x0000_s1040" style="position:absolute;flip:y;visibility:visible;mso-wrap-style:square" from="9312,4245" to="9312,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100" o:spid="_x0000_s1041" style="position:absolute;flip:x y;visibility:visible;mso-wrap-style:square" from="4232,1842" to="910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6vlcEAAADbAAAADwAAAGRycy9kb3ducmV2LnhtbERPy2rCQBTdF/oPwy24KWaiDRLSjCKF&#10;FlcRY4vbS+bmQTN3QmZq0n59ZyG4PJx3vptNL640us6yglUUgyCurO64UfB5fl+mIJxH1thbJgW/&#10;5GC3fXzIMdN24hNdS9+IEMIuQwWt90MmpataMugiOxAHrrajQR/g2Eg94hTCTS/XcbyRBjsODS0O&#10;9NZS9V3+GAXIxd9LOq0okR90cevi+Lz/qpVaPM37VxCeZn8X39wHrSAJ6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q+VwQAAANsAAAAPAAAAAAAAAAAAAAAA&#10;AKECAABkcnMvZG93bnJldi54bWxQSwUGAAAAAAQABAD5AAAAjwMAAAAA&#10;"/>
                    <v:line id="Line 101" o:spid="_x0000_s1042" style="position:absolute;visibility:visible;mso-wrap-style:square" from="7726,2698" to="8135,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wjMMAAADbAAAADwAAAGRycy9kb3ducmV2LnhtbESPQWvCQBSE74L/YXkFb7pJlCJpVqkF&#10;ISdB68HjI/uahGTfxuw2if/eFQo9DjPzDZPtJ9OKgXpXW1YQryIQxIXVNZcKrt/H5RaE88gaW8uk&#10;4EEO9rv5LMNU25HPNFx8KQKEXYoKKu+7VEpXVGTQrWxHHLwf2xv0Qfal1D2OAW5amUTRuzRYc1io&#10;sKOviorm8msUHGTeHG6n5J608bg2t3UxdVen1OJt+vwA4Wny/+G/dq4VbGJ4fQk/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cIzDAAAA2wAAAA8AAAAAAAAAAAAA&#10;AAAAoQIAAGRycy9kb3ducmV2LnhtbFBLBQYAAAAABAAEAPkAAACRAwAAAAA=&#10;" strokecolor="red" strokeweight="2.25pt">
                      <v:stroke dashstyle="1 1" endarrow="block"/>
                    </v:line>
                    <v:shape id="Text Box 102" o:spid="_x0000_s1043" type="#_x0000_t202" style="position:absolute;left:6056;top:2012;width:167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OsUA&#10;AADbAAAADwAAAGRycy9kb3ducmV2LnhtbESPT4vCMBTE7wt+h/CEva2pRXSpRhFdZQ/uwT8HvT2a&#10;Z1tsXkqSavfbG2Fhj8PM/IaZLTpTizs5X1lWMBwkIIhzqysuFJyOm49PED4ga6wtk4Jf8rCY995m&#10;mGn74D3dD6EQEcI+QwVlCE0mpc9LMugHtiGO3tU6gyFKV0jt8BHhppZpkoylwYrjQokNrUrKb4fW&#10;KAi8ad3P2qdfo91kcjm329u+2yr13u+WUxCBuvAf/mt/awWjFF5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L86xQAAANsAAAAPAAAAAAAAAAAAAAAAAJgCAABkcnMv&#10;ZG93bnJldi54bWxQSwUGAAAAAAQABAD1AAAAigMAAAAA&#10;" fillcolor="red" strokecolor="red" strokeweight="3pt">
                      <v:fill opacity="29555f"/>
                      <v:stroke dashstyle="1 1"/>
                      <v:textbox>
                        <w:txbxContent>
                          <w:p w:rsidR="00E635E1" w:rsidRDefault="00E635E1" w:rsidP="007600EB">
                            <w:pPr>
                              <w:jc w:val="center"/>
                              <w:rPr>
                                <w:b/>
                                <w:bCs/>
                                <w:sz w:val="20"/>
                                <w:rtl/>
                                <w:lang w:bidi="ar-JO"/>
                              </w:rPr>
                            </w:pPr>
                            <w:r>
                              <w:rPr>
                                <w:b/>
                                <w:bCs/>
                                <w:sz w:val="20"/>
                              </w:rPr>
                              <w:t>Emergency Experience</w:t>
                            </w:r>
                          </w:p>
                        </w:txbxContent>
                      </v:textbox>
                    </v:shape>
                    <v:line id="Line 103" o:spid="_x0000_s1044" style="position:absolute;visibility:visible;mso-wrap-style:square" from="9106,1842" to="9106,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04" o:spid="_x0000_s1045" style="position:absolute;visibility:visible;mso-wrap-style:square" from="6423,2698" to="6423,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uPMIAAADbAAAADwAAAGRycy9kb3ducmV2LnhtbESPS2vDMBCE74X+B7GF3Go5JoTgWg4h&#10;YGgpFPIg5621flBrZSzZcf59FQjkOMzMN0y2nU0nJhpca1nBMopBEJdWt1wrOJ+K9w0I55E1dpZJ&#10;wY0cbPPXlwxTba98oOnoaxEg7FJU0Hjfp1K6siGDLrI9cfAqOxj0QQ611ANeA9x0MonjtTTYclho&#10;sKd9Q+XfcTQKvgt3+cKCx/1P9bs7yWTytKyUWrzNuw8Qnmb/DD/an1rBagX3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VuPMIAAADbAAAADwAAAAAAAAAAAAAA&#10;AAChAgAAZHJzL2Rvd25yZXYueG1sUEsFBgAAAAAEAAQA+QAAAJADAAAAAA==&#10;" strokecolor="red" strokeweight="2.25pt">
                      <v:stroke dashstyle="1 1" startarrow="block" endarrow="block"/>
                    </v:line>
                    <v:shape id="Text Box 105" o:spid="_x0000_s1046" type="#_x0000_t202" style="position:absolute;left:4493;top:4930;width:161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6wMUA&#10;AADbAAAADwAAAGRycy9kb3ducmV2LnhtbESPQWvCQBSE70L/w/IKvUjdpGgoqWsoQiAFBbW99PbI&#10;vmbTZt+G7Krpv3cFweMwM98wy2K0nTjR4FvHCtJZAoK4drrlRsHXZ/n8CsIHZI2dY1LwTx6K1cNk&#10;ibl2Z97T6RAaESHsc1RgQuhzKX1tyKKfuZ44ej9usBiiHBqpBzxHuO3kS5Jk0mLLccFgT2tD9d/h&#10;aBV8mI3M0tL8Zlu9m35Pa7cJulLq6XF8fwMRaAz38K1daQXzBVy/x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jrAxQAAANsAAAAPAAAAAAAAAAAAAAAAAJgCAABkcnMv&#10;ZG93bnJldi54bWxQSwUGAAAAAAQABAD1AAAAigMAAAAA&#10;" fillcolor="#ddd">
                      <v:fill opacity="52428f"/>
                      <v:textbox>
                        <w:txbxContent>
                          <w:p w:rsidR="00E635E1" w:rsidRDefault="00E635E1" w:rsidP="007600EB">
                            <w:pPr>
                              <w:spacing w:before="0" w:after="0"/>
                              <w:jc w:val="center"/>
                              <w:rPr>
                                <w:b/>
                                <w:bCs/>
                                <w:sz w:val="20"/>
                                <w:rtl/>
                                <w:lang w:bidi="ar-JO"/>
                              </w:rPr>
                            </w:pPr>
                            <w:r>
                              <w:rPr>
                                <w:b/>
                                <w:bCs/>
                                <w:sz w:val="20"/>
                              </w:rPr>
                              <w:t>IFS Management</w:t>
                            </w:r>
                          </w:p>
                        </w:txbxContent>
                      </v:textbox>
                    </v:shape>
                    <v:line id="Line 106" o:spid="_x0000_s1047" style="position:absolute;flip:y;visibility:visible;mso-wrap-style:square" from="4639,4183" to="4639,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07" o:spid="_x0000_s1048" style="position:absolute;visibility:visible;mso-wrap-style:square" from="7415,4487" to="7415,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Text Box 108" o:spid="_x0000_s1049" type="#_x0000_t202" style="position:absolute;left:3513;top:1470;width:23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qrcUA&#10;AADbAAAADwAAAGRycy9kb3ducmV2LnhtbESPwWrCQBCG74LvsIzgpdRNtRRJXUWkggeF1ojY25Cd&#10;JsHsbMiuGt/eORQ8Dv/838w3W3SuVldqQ+XZwNsoAUWce1txYeCQrV+noEJEtlh7JgN3CrCY93sz&#10;TK2/8Q9d97FQAuGQooEyxibVOuQlOQwj3xBL9udbh1HGttC2xZvAXa3HSfKhHVYsF0psaFVSft5f&#10;nFCy1fb76zTBJLyc1rvf7pjdm6Mxw0G3/AQVqYvP5f/2xhp4l2fFRTxA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SqtxQAAANsAAAAPAAAAAAAAAAAAAAAAAJgCAABkcnMv&#10;ZG93bnJldi54bWxQSwUGAAAAAAQABAD1AAAAigMAAAAA&#10;" filled="f" fillcolor="#f60" stroked="f">
                      <v:textbox>
                        <w:txbxContent>
                          <w:p w:rsidR="00E635E1" w:rsidRDefault="00E635E1" w:rsidP="007600EB">
                            <w:pPr>
                              <w:rPr>
                                <w:color w:val="993300"/>
                                <w:sz w:val="20"/>
                                <w:rtl/>
                                <w:lang w:bidi="ar-JO"/>
                              </w:rPr>
                            </w:pPr>
                            <w:r w:rsidRPr="003D1DF1">
                              <w:rPr>
                                <w:color w:val="993300"/>
                                <w:sz w:val="20"/>
                              </w:rPr>
                              <w:t>Flight Duty Loop</w:t>
                            </w:r>
                          </w:p>
                          <w:p w:rsidR="00E635E1" w:rsidRDefault="00E635E1" w:rsidP="007600EB">
                            <w:pPr>
                              <w:rPr>
                                <w:lang w:bidi="ar-JO"/>
                              </w:rPr>
                            </w:pPr>
                          </w:p>
                        </w:txbxContent>
                      </v:textbox>
                    </v:shape>
                    <v:shape id="Text Box 109" o:spid="_x0000_s1050" type="#_x0000_t202" style="position:absolute;left:6042;top:5428;width:231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635E1" w:rsidRPr="003D1DF1" w:rsidRDefault="00E635E1" w:rsidP="007600EB">
                            <w:pPr>
                              <w:rPr>
                                <w:color w:val="993300"/>
                              </w:rPr>
                            </w:pPr>
                            <w:r w:rsidRPr="003D1DF1">
                              <w:rPr>
                                <w:color w:val="993300"/>
                              </w:rPr>
                              <w:t xml:space="preserve">Management </w:t>
                            </w:r>
                            <w:smartTag w:uri="urn:schemas-microsoft-com:office:smarttags" w:element="place">
                              <w:r w:rsidRPr="003D1DF1">
                                <w:rPr>
                                  <w:color w:val="993300"/>
                                </w:rPr>
                                <w:t>Loop</w:t>
                              </w:r>
                            </w:smartTag>
                          </w:p>
                        </w:txbxContent>
                      </v:textbox>
                    </v:shape>
                    <v:line id="Line 110" o:spid="_x0000_s1051" style="position:absolute;visibility:visible;mso-wrap-style:square" from="4236,1835" to="4236,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111" o:spid="_x0000_s1052" type="#_x0000_t202" style="position:absolute;left:8175;top:3247;width:1743;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kSsYA&#10;AADbAAAADwAAAGRycy9kb3ducmV2LnhtbESPX2vCQBDE3wv9DscKfasXW1pC9BTRlhaLgn/A1yW3&#10;JrG5vTS31dhP3ysUfBxm5zc7o0nnanWiNlSeDQz6CSji3NuKCwO77et9CioIssXaMxm4UIDJ+PZm&#10;hJn1Z17TaSOFihAOGRooRZpM65CX5DD0fUMcvYNvHUqUbaFti+cId7V+SJJn7bDi2FBiQ7OS8s/N&#10;t4tvrI5fIvly+ZbOHz9eJN0u9vbHmLteNx2CEurkevyffrcGngbwtyUCQI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kSsYAAADbAAAADwAAAAAAAAAAAAAAAACYAgAAZHJz&#10;L2Rvd25yZXYueG1sUEsFBgAAAAAEAAQA9QAAAIsDAAAAAA==&#10;" fillcolor="#9c0">
                      <v:fill opacity="52428f"/>
                      <v:textbox>
                        <w:txbxContent>
                          <w:p w:rsidR="00E635E1" w:rsidRPr="00743B1E" w:rsidRDefault="00E635E1" w:rsidP="007600EB">
                            <w:pPr>
                              <w:jc w:val="center"/>
                              <w:rPr>
                                <w:b/>
                                <w:bCs/>
                              </w:rPr>
                            </w:pPr>
                            <w:r w:rsidRPr="00743B1E">
                              <w:rPr>
                                <w:b/>
                                <w:bCs/>
                              </w:rPr>
                              <w:t>Expert Flight Safety Schema</w:t>
                            </w:r>
                          </w:p>
                        </w:txbxContent>
                      </v:textbox>
                    </v:shape>
                    <v:shape id="Text Box 112" o:spid="_x0000_s1053" type="#_x0000_t202" style="position:absolute;left:5746;top:3240;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QAcUA&#10;AADbAAAADwAAAGRycy9kb3ducmV2LnhtbESP0WrCQBRE3wv9h+UW+qabBioaXYOK1T5VtP2A6+5t&#10;EszeDdltEv36bkHo4zAzZ5hFPthadNT6yrGCl3ECglg7U3Gh4OvzbTQF4QOywdoxKbiSh3z5+LDA&#10;zLiej9SdQiEihH2GCsoQmkxKr0uy6MeuIY7et2sthijbQpoW+wi3tUyTZCItVhwXSmxoU5K+nH6s&#10;gu1ltvrQ1K1314Pubutpuj9Pdko9Pw2rOYhAQ/gP39vvRsFr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lABxQAAANsAAAAPAAAAAAAAAAAAAAAAAJgCAABkcnMv&#10;ZG93bnJldi54bWxQSwUGAAAAAAQABAD1AAAAigMAAAAA&#10;" fillcolor="#f90">
                      <v:textbox>
                        <w:txbxContent>
                          <w:p w:rsidR="00E635E1" w:rsidRPr="00E57C8E" w:rsidRDefault="00E635E1" w:rsidP="007600EB">
                            <w:pPr>
                              <w:spacing w:before="0" w:after="0"/>
                              <w:jc w:val="center"/>
                              <w:rPr>
                                <w:sz w:val="20"/>
                              </w:rPr>
                            </w:pPr>
                            <w:r w:rsidRPr="00E57C8E">
                              <w:rPr>
                                <w:sz w:val="20"/>
                              </w:rPr>
                              <w:t>In-Flight</w:t>
                            </w:r>
                          </w:p>
                          <w:p w:rsidR="00E635E1" w:rsidRDefault="00E635E1" w:rsidP="007600EB">
                            <w:pPr>
                              <w:spacing w:before="0" w:after="0"/>
                              <w:jc w:val="center"/>
                              <w:rPr>
                                <w:sz w:val="20"/>
                              </w:rPr>
                            </w:pPr>
                            <w:r w:rsidRPr="00E57C8E">
                              <w:rPr>
                                <w:sz w:val="20"/>
                              </w:rPr>
                              <w:t>Preparedness</w:t>
                            </w:r>
                          </w:p>
                          <w:p w:rsidR="00E635E1" w:rsidRDefault="00E635E1" w:rsidP="007600EB">
                            <w:pPr>
                              <w:spacing w:before="0" w:after="0"/>
                              <w:jc w:val="center"/>
                              <w:rPr>
                                <w:sz w:val="20"/>
                              </w:rPr>
                            </w:pPr>
                            <w:r>
                              <w:rPr>
                                <w:sz w:val="20"/>
                              </w:rPr>
                              <w:t>(IFP)</w:t>
                            </w:r>
                          </w:p>
                          <w:p w:rsidR="00E635E1" w:rsidRPr="00E57C8E" w:rsidRDefault="00E635E1" w:rsidP="007600EB">
                            <w:pPr>
                              <w:spacing w:before="0" w:after="0"/>
                              <w:jc w:val="center"/>
                              <w:rPr>
                                <w:sz w:val="20"/>
                              </w:rPr>
                            </w:pPr>
                            <w:r>
                              <w:rPr>
                                <w:sz w:val="20"/>
                              </w:rPr>
                              <w:t>(Full Alert Mode</w:t>
                            </w:r>
                          </w:p>
                        </w:txbxContent>
                      </v:textbox>
                    </v:shape>
                  </v:group>
                </v:group>
              </v:group>
            </w:pict>
          </mc:Fallback>
        </mc:AlternateContent>
      </w: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sz w:val="20"/>
        </w:rPr>
      </w:pPr>
    </w:p>
    <w:p w:rsidR="007600EB" w:rsidRDefault="007600EB" w:rsidP="00053789">
      <w:pPr>
        <w:rPr>
          <w:b/>
          <w:bCs/>
          <w:sz w:val="20"/>
        </w:rPr>
      </w:pPr>
    </w:p>
    <w:p w:rsidR="007600EB" w:rsidRPr="002F31DA" w:rsidRDefault="007600EB" w:rsidP="00053789">
      <w:pPr>
        <w:pStyle w:val="Heading5"/>
      </w:pPr>
      <w:r w:rsidRPr="002F31DA">
        <w:t xml:space="preserve">Figure 1: </w:t>
      </w:r>
      <w:r>
        <w:rPr>
          <w:noProof/>
        </w:rPr>
        <mc:AlternateContent>
          <mc:Choice Requires="wps">
            <w:drawing>
              <wp:anchor distT="4294967295" distB="4294967295" distL="114299" distR="114299" simplePos="0" relativeHeight="251659264" behindDoc="0" locked="0" layoutInCell="1" allowOverlap="1" wp14:anchorId="2FC3B8B2" wp14:editId="029163C1">
                <wp:simplePos x="0" y="0"/>
                <wp:positionH relativeFrom="column">
                  <wp:posOffset>-228601</wp:posOffset>
                </wp:positionH>
                <wp:positionV relativeFrom="paragraph">
                  <wp:posOffset>271779</wp:posOffset>
                </wp:positionV>
                <wp:extent cx="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037AF" id="Straight Connector 24"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pt,21.4pt" to="-1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fk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MVKk&#10;hx7tvSWi7TyqtFKgoLYInKDUYFwBCZXa2VArPau9edL0m0NKVx1RLY+Mny8GULKQkbxKCRtn4L7D&#10;8EkziCFHr6Ns58b2ARIEQefYncu9O/zsER0P6e00IcUtxVjnP3Ldo2CUWAoVJCMFOT05HyiQ4hYS&#10;jpXeCilj26VCQ4mX89k8JjgtBQvOEOZse6ikRScSBif+Yj3geRlm9VGxCNZxwjZX2xMhwUY+CuGt&#10;AGkkx+G2njOMJIe3EqyRnlThRigTCF+tcXa+L9PlZrFZ5JN89rCZ5GldTz5sq3zysM3ez+t3dVXV&#10;2Y9APsuLTjDGVeB/m+Ms/7s5ub6ocQLvk3wXKnmNHhUFsrf/SDr2ObR2HJKDZpedDdWFlsPoxuDr&#10;Mwtv4+U+Rv36GKx/AgAA//8DAFBLAwQUAAYACAAAACEA0oyKat0AAAAJAQAADwAAAGRycy9kb3du&#10;cmV2LnhtbEyPQU/CQBCF7yb+h82YeIMtaEhTuyWEBC+gBjBGb0t3aBu6s83uFuq/dwwHPc6bl/fe&#10;l88H24oz+tA4UjAZJyCQSmcaqhS871ejFESImoxuHaGCbwwwL25vcp0Zd6EtnnexEhxCIdMK6hi7&#10;TMpQ1mh1GLsOiX9H562OfPpKGq8vHG5bOU2SmbS6IW6odYfLGsvTrrcKtpvVOv1Y90Ppv54nr/u3&#10;zctnSJW6vxsWTyAiDvHPDL/zeToUvOngejJBtApGDzNmiQoep4zAhqtwuAqyyOV/guIHAAD//wMA&#10;UEsBAi0AFAAGAAgAAAAhALaDOJL+AAAA4QEAABMAAAAAAAAAAAAAAAAAAAAAAFtDb250ZW50X1R5&#10;cGVzXS54bWxQSwECLQAUAAYACAAAACEAOP0h/9YAAACUAQAACwAAAAAAAAAAAAAAAAAvAQAAX3Jl&#10;bHMvLnJlbHNQSwECLQAUAAYACAAAACEA/T3n5C0CAABUBAAADgAAAAAAAAAAAAAAAAAuAgAAZHJz&#10;L2Uyb0RvYy54bWxQSwECLQAUAAYACAAAACEA0oyKat0AAAAJAQAADwAAAAAAAAAAAAAAAACHBAAA&#10;ZHJzL2Rvd25yZXYueG1sUEsFBgAAAAAEAAQA8wAAAJEFAAAAAA==&#10;">
                <v:stroke endarrow="block"/>
              </v:line>
            </w:pict>
          </mc:Fallback>
        </mc:AlternateContent>
      </w:r>
      <w:r>
        <w:rPr>
          <w:noProof/>
        </w:rPr>
        <mc:AlternateContent>
          <mc:Choice Requires="wps">
            <w:drawing>
              <wp:anchor distT="4294967295" distB="4294967295" distL="114299" distR="114299" simplePos="0" relativeHeight="251660288" behindDoc="0" locked="0" layoutInCell="1" allowOverlap="1" wp14:anchorId="1EAC837C" wp14:editId="5B3CF182">
                <wp:simplePos x="0" y="0"/>
                <wp:positionH relativeFrom="column">
                  <wp:posOffset>-228601</wp:posOffset>
                </wp:positionH>
                <wp:positionV relativeFrom="paragraph">
                  <wp:posOffset>271779</wp:posOffset>
                </wp:positionV>
                <wp:extent cx="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3DECC" id="Straight Connector 23"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pt,21.4pt" to="-1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jQLQIAAFQ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t9mFUPVVlW&#10;2Y9APpvmrWCMq8D/NsfZ9O/m5Pqihgm8T/JdqOQtelQUyN7+I+nY59DaYUgOml12NlQXWg6jG4Ov&#10;zyy8jdf7GPXrY7D+CQAA//8DAFBLAwQUAAYACAAAACEA0oyKat0AAAAJAQAADwAAAGRycy9kb3du&#10;cmV2LnhtbEyPQU/CQBCF7yb+h82YeIMtaEhTuyWEBC+gBjBGb0t3aBu6s83uFuq/dwwHPc6bl/fe&#10;l88H24oz+tA4UjAZJyCQSmcaqhS871ejFESImoxuHaGCbwwwL25vcp0Zd6EtnnexEhxCIdMK6hi7&#10;TMpQ1mh1GLsOiX9H562OfPpKGq8vHG5bOU2SmbS6IW6odYfLGsvTrrcKtpvVOv1Y90Ppv54nr/u3&#10;zctnSJW6vxsWTyAiDvHPDL/zeToUvOngejJBtApGDzNmiQoep4zAhqtwuAqyyOV/guIHAAD//wMA&#10;UEsBAi0AFAAGAAgAAAAhALaDOJL+AAAA4QEAABMAAAAAAAAAAAAAAAAAAAAAAFtDb250ZW50X1R5&#10;cGVzXS54bWxQSwECLQAUAAYACAAAACEAOP0h/9YAAACUAQAACwAAAAAAAAAAAAAAAAAvAQAAX3Jl&#10;bHMvLnJlbHNQSwECLQAUAAYACAAAACEACbRo0C0CAABUBAAADgAAAAAAAAAAAAAAAAAuAgAAZHJz&#10;L2Uyb0RvYy54bWxQSwECLQAUAAYACAAAACEA0oyKat0AAAAJAQAADwAAAAAAAAAAAAAAAACHBAAA&#10;ZHJzL2Rvd25yZXYueG1sUEsFBgAAAAAEAAQA8wAAAJEFAAAAAA==&#10;">
                <v:stroke endarrow="block"/>
              </v:line>
            </w:pict>
          </mc:Fallback>
        </mc:AlternateContent>
      </w:r>
      <w:r>
        <w:rPr>
          <w:noProof/>
        </w:rPr>
        <mc:AlternateContent>
          <mc:Choice Requires="wps">
            <w:drawing>
              <wp:anchor distT="4294967295" distB="4294967295" distL="114299" distR="114299" simplePos="0" relativeHeight="251661312" behindDoc="0" locked="0" layoutInCell="1" allowOverlap="1" wp14:anchorId="4C09E151" wp14:editId="3215B924">
                <wp:simplePos x="0" y="0"/>
                <wp:positionH relativeFrom="column">
                  <wp:posOffset>-228601</wp:posOffset>
                </wp:positionH>
                <wp:positionV relativeFrom="paragraph">
                  <wp:posOffset>271779</wp:posOffset>
                </wp:positionV>
                <wp:extent cx="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50676" id="Straight Connector 22"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pt,21.4pt" to="-1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7cVLQIAAFQ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pznGCnS&#10;Q4/23hLRdh5VWilQUFsETlBqMK6AhErtbKiVntXePGn6zSGlq46olkfGzxcDKFnISF6lhI0zcN9h&#10;+KQZxJCj11G2c2P7AAmCoHPszuXeHX72iI6H9HaakOKWYqzzH7nuUTBKLIUKkpGCnJ6cDxRIcQsJ&#10;x0pvhZSx7VKhocTLeT6PCU5LwYIzhDnbHipp0YmEwYm/WA94XoZZfVQsgnWcsM3V9kRIsJGPQngr&#10;QBrJcbit5wwjyeGtBGukJ1W4EcoEwldrnJ3vy3S5WWwWs8ksf9hMZmldTz5sq9nkYZu9n9fv6qqq&#10;sx+BfDYrOsEYV4H/bY6z2d/NyfVFjRN4n+S7UMlr9KgokL39R9Kxz6G145AcNLvsbKgutBxGNwZf&#10;n1l4Gy/3MerXx2D9EwAA//8DAFBLAwQUAAYACAAAACEA0oyKat0AAAAJAQAADwAAAGRycy9kb3du&#10;cmV2LnhtbEyPQU/CQBCF7yb+h82YeIMtaEhTuyWEBC+gBjBGb0t3aBu6s83uFuq/dwwHPc6bl/fe&#10;l88H24oz+tA4UjAZJyCQSmcaqhS871ejFESImoxuHaGCbwwwL25vcp0Zd6EtnnexEhxCIdMK6hi7&#10;TMpQ1mh1GLsOiX9H562OfPpKGq8vHG5bOU2SmbS6IW6odYfLGsvTrrcKtpvVOv1Y90Ppv54nr/u3&#10;zctnSJW6vxsWTyAiDvHPDL/zeToUvOngejJBtApGDzNmiQoep4zAhqtwuAqyyOV/guIHAAD//wMA&#10;UEsBAi0AFAAGAAgAAAAhALaDOJL+AAAA4QEAABMAAAAAAAAAAAAAAAAAAAAAAFtDb250ZW50X1R5&#10;cGVzXS54bWxQSwECLQAUAAYACAAAACEAOP0h/9YAAACUAQAACwAAAAAAAAAAAAAAAAAvAQAAX3Jl&#10;bHMvLnJlbHNQSwECLQAUAAYACAAAACEA2O+3FS0CAABUBAAADgAAAAAAAAAAAAAAAAAuAgAAZHJz&#10;L2Uyb0RvYy54bWxQSwECLQAUAAYACAAAACEA0oyKat0AAAAJAQAADwAAAAAAAAAAAAAAAACHBAAA&#10;ZHJzL2Rvd25yZXYueG1sUEsFBgAAAAAEAAQA8wAAAJEFAAAAAA==&#10;">
                <v:stroke endarrow="block"/>
              </v:line>
            </w:pict>
          </mc:Fallback>
        </mc:AlternateContent>
      </w:r>
      <w:r>
        <w:rPr>
          <w:noProof/>
        </w:rPr>
        <mc:AlternateContent>
          <mc:Choice Requires="wps">
            <w:drawing>
              <wp:anchor distT="4294967295" distB="4294967295" distL="114299" distR="114299" simplePos="0" relativeHeight="251662336" behindDoc="0" locked="0" layoutInCell="1" allowOverlap="1" wp14:anchorId="066C7652" wp14:editId="0A03CBE8">
                <wp:simplePos x="0" y="0"/>
                <wp:positionH relativeFrom="column">
                  <wp:posOffset>-276226</wp:posOffset>
                </wp:positionH>
                <wp:positionV relativeFrom="paragraph">
                  <wp:posOffset>300354</wp:posOffset>
                </wp:positionV>
                <wp:extent cx="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BFBA1" id="Straight Connector 21" o:spid="_x0000_s1026" style="position:absolute;flip:x;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1.75pt,23.65pt" to="-21.7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9HNAIAAF4EAAAOAAAAZHJzL2Uyb0RvYy54bWysVEGu2jAQ3VfqHSzvIQkFChHhq0qgXfy2&#10;SPwewNhOYtWxLdsQUNW7d+wALe2mqsrCjO2Z5zdvZrJ6OncSnbh1QqsCZ+MUI66oZkI1Bf7ysh0t&#10;MHKeKEakVrzAF+7w0/r1q1Vvcj7RrZaMWwQgyuW9KXDrvcmTxNGWd8SNteEKLmttO+Jha5uEWdID&#10;eieTSZrOk15bZqym3Dk4rYZLvI74dc2p/1zXjnskCwzcfFxtXA9hTdYrkjeWmFbQKw3yDyw6IhQ8&#10;eoeqiCfoaMUfUJ2gVjtd+zHVXaLrWlAec4BssvS3bPYtMTzmAuI4c5fJ/T9Y+um0s0iwAk8yjBTp&#10;oEZ7b4loWo9KrRQoqC2CS1CqNy6HgFLtbMiVntXePGv61SGly5aohkfGLxcDKDEieQgJG2fgvUP/&#10;UTPwIUevo2zn2naolsJ8CIEBHKRB51iny71O/OwRHQ7p7TQheQgOIcY6/57rDgWjwFKoIB7JyenZ&#10;eaAPrjeXcKz0VkgZG0Aq1Bd4OZvMYoDTUrBwGdycbQ6ltOhEQgvFX9ACwB7crD4qFsFaTtjmansi&#10;JNjIR0m8FSCS5Di81nGGkeQwNcEaEKUKL0KaQPhqDV30bZkuN4vNYjqaTuab0TStqtG7bTkdzbfZ&#10;21n1pirLKvseyGfTvBWMcRX43zo6m/5dx1xna+jFe0/fhUoe0aMIQPb2H0nHiociD+1y0OyysyG7&#10;UHxo4uh8HbgwJb/uo9fPz8L6BwAAAP//AwBQSwMEFAAGAAgAAAAhAMyAbIbdAAAACQEAAA8AAABk&#10;cnMvZG93bnJldi54bWxMj8FOwzAMhu9IvEPkSdy2dKwD1jWdEAKJE4INIXHLGq8ta5ySZGvh6THa&#10;AY7+/en353w12FYc0YfGkYLpJAGBVDrTUKXgdfMwvgERoiajW0eo4AsDrIrzs1xnxvX0gsd1rASX&#10;UMi0gjrGLpMylDVaHSauQ+LdznmrI4++ksbrnsttKy+T5Epa3RBfqHWHdzWW+/XBKlhs+rl79vu3&#10;dNp8vn/ff8Tu8SkqdTEabpcgIg7xD4ZffVaHgp227kAmiFbBOJ3NGVWQXs9AMHAKtqdAFrn8/0Hx&#10;AwAA//8DAFBLAQItABQABgAIAAAAIQC2gziS/gAAAOEBAAATAAAAAAAAAAAAAAAAAAAAAABbQ29u&#10;dGVudF9UeXBlc10ueG1sUEsBAi0AFAAGAAgAAAAhADj9If/WAAAAlAEAAAsAAAAAAAAAAAAAAAAA&#10;LwEAAF9yZWxzLy5yZWxzUEsBAi0AFAAGAAgAAAAhAB7sz0c0AgAAXgQAAA4AAAAAAAAAAAAAAAAA&#10;LgIAAGRycy9lMm9Eb2MueG1sUEsBAi0AFAAGAAgAAAAhAMyAbIbdAAAACQEAAA8AAAAAAAAAAAAA&#10;AAAAjgQAAGRycy9kb3ducmV2LnhtbFBLBQYAAAAABAAEAPMAAACYBQAAAAA=&#10;">
                <v:stroke endarrow="block"/>
              </v:line>
            </w:pict>
          </mc:Fallback>
        </mc:AlternateContent>
      </w:r>
      <w:r w:rsidRPr="002F31DA">
        <w:t>In-Flight Safety Assurance Model by Bani Salameh et al, 2010</w:t>
      </w:r>
    </w:p>
    <w:p w:rsidR="007600EB" w:rsidRDefault="007600EB" w:rsidP="007600EB">
      <w:r w:rsidRPr="001C4340">
        <w:rPr>
          <w:lang w:bidi="ar-JO"/>
        </w:rPr>
        <w:t>Flight attendant training includes safety training, security training and crew resource management (CRM) training both in basic training and the refresher training</w:t>
      </w:r>
      <w:r>
        <w:rPr>
          <w:lang w:bidi="ar-JO"/>
        </w:rPr>
        <w:t xml:space="preserve"> </w:t>
      </w:r>
      <w:r w:rsidRPr="001C44CB">
        <w:rPr>
          <w:lang w:bidi="ar-JO"/>
        </w:rPr>
        <w:t>(Jordan Aviation Training and Simulation).</w:t>
      </w:r>
      <w:r w:rsidRPr="001C4340">
        <w:rPr>
          <w:lang w:bidi="ar-JO"/>
        </w:rPr>
        <w:t xml:space="preserve"> Despite the fact that flight attendants go through CRM in the basic safety training </w:t>
      </w:r>
      <w:r w:rsidRPr="001C4340">
        <w:rPr>
          <w:lang w:bidi="ar-JO"/>
        </w:rPr>
        <w:lastRenderedPageBreak/>
        <w:t xml:space="preserve">and refresher training, there are still reports of flight attendants deficiencies. For example, FSF Editorial Staff (2005) referred to a report by the captain on Boeing 757 when the supervisor committed a mistake by opening the door without permission from the captain. The captain said that someone could have been killed in the incident. The editorial staff also reported another incident when a flight attendant inadvertently deployed the slide raft in 2004 aboard A320. Other reports and studies pointed that flight attendant safety training </w:t>
      </w:r>
      <w:r w:rsidR="0036178C">
        <w:rPr>
          <w:lang w:bidi="ar-JO"/>
        </w:rPr>
        <w:t>needed</w:t>
      </w:r>
      <w:r w:rsidRPr="001C4340">
        <w:rPr>
          <w:lang w:bidi="ar-JO"/>
        </w:rPr>
        <w:t xml:space="preserve"> attention (Rhoden et al, 2009; Mahon</w:t>
      </w:r>
      <w:r>
        <w:rPr>
          <w:lang w:bidi="ar-JO"/>
        </w:rPr>
        <w:t>y et al, 2008, Rosenkrans, 2006 and</w:t>
      </w:r>
      <w:r w:rsidRPr="001C4340">
        <w:rPr>
          <w:lang w:bidi="ar-JO"/>
        </w:rPr>
        <w:t xml:space="preserve"> FSF, 2005).</w:t>
      </w:r>
    </w:p>
    <w:p w:rsidR="007600EB" w:rsidRDefault="007600EB" w:rsidP="007600EB">
      <w:r w:rsidRPr="001C4340">
        <w:t xml:space="preserve">A study by </w:t>
      </w:r>
      <w:r w:rsidRPr="00754689">
        <w:t>Bani-Salameh, Z., Abbas, M., Kabilan, M., Mei, L. &amp; Bani-Salameh, L.</w:t>
      </w:r>
      <w:r w:rsidRPr="001C4340">
        <w:t xml:space="preserve"> (2009</w:t>
      </w:r>
      <w:r>
        <w:t>)</w:t>
      </w:r>
      <w:r w:rsidRPr="001C4340">
        <w:t xml:space="preserve"> revealed that the flight attendants and supervisors reported surprisingly low perceptions towards all the ISA factors</w:t>
      </w:r>
      <w:r>
        <w:t>.</w:t>
      </w:r>
      <w:r w:rsidRPr="001C4340">
        <w:t xml:space="preserve"> One of the findings was that flight attendants who experienced onboard emergencies and successfully solved the emergency situations improved their perceptions of the usefulness of the safety manual, the importance of PFB, and continuous mental practice and rehearsal. These findings showed that among flight attendants, experience was the better teacher and the safety knowledge and skills as well as the procedures to establish and maintain the SKS became meaningful and fully appreciated only after experiencing real-life emergencies. This is a very expensive and risky way </w:t>
      </w:r>
      <w:r w:rsidR="0036178C">
        <w:t xml:space="preserve">of </w:t>
      </w:r>
      <w:r w:rsidRPr="001C4340">
        <w:t xml:space="preserve">maintaining expertise (Cited in Bani Salameh et al, 2010a). The low levels of perceptions and the uneven distribution of focus and confidence reported in this study should be seen as indicators of poor training or more accurately of poor maintenance of safety knowledge and skills (SKS) among the flight attendants. These findings can be interpreted as calls for help by the flight attendants and should be attended to immediately to avoid more negative findings such as reported by Mahony </w:t>
      </w:r>
      <w:r w:rsidRPr="0036178C">
        <w:rPr>
          <w:i/>
        </w:rPr>
        <w:t>et al</w:t>
      </w:r>
      <w:r>
        <w:t xml:space="preserve"> (2008), Rosenkrans (2006), FSF (</w:t>
      </w:r>
      <w:r w:rsidRPr="001C4340">
        <w:t>2005</w:t>
      </w:r>
      <w:r>
        <w:t>)</w:t>
      </w:r>
      <w:r w:rsidRPr="001C4340">
        <w:t xml:space="preserve">.  </w:t>
      </w:r>
    </w:p>
    <w:p w:rsidR="007600EB" w:rsidRPr="001C4340" w:rsidRDefault="007600EB" w:rsidP="007600EB">
      <w:r w:rsidRPr="001C4340">
        <w:t xml:space="preserve">The findings of previous studies suggest that although flight attendants were trained and annually recertified to perform the safety procedures, the training and other activities that they underwent in the course of their careers were fragmented and focused on specific skills and behaviors, but not on the integration of safety knowledge and skills (SKS), nor for the development of </w:t>
      </w:r>
      <w:r w:rsidR="0036178C">
        <w:t>Expertise</w:t>
      </w:r>
      <w:r w:rsidRPr="001C4340">
        <w:t xml:space="preserve"> schema (Cited in Bani Salameh et al (2010a). Therefore, this research started with development of SIMI in order to measure:</w:t>
      </w:r>
    </w:p>
    <w:p w:rsidR="007600EB" w:rsidRPr="001C4340" w:rsidRDefault="007600EB" w:rsidP="00911C00">
      <w:pPr>
        <w:spacing w:after="60"/>
        <w:ind w:left="360"/>
      </w:pPr>
      <w:r w:rsidRPr="001C4340">
        <w:t>1- If the SIMI package meets the USE questionnaire requirements.</w:t>
      </w:r>
    </w:p>
    <w:p w:rsidR="007600EB" w:rsidRPr="001C4340" w:rsidRDefault="007600EB" w:rsidP="00911C00">
      <w:pPr>
        <w:spacing w:after="60"/>
        <w:ind w:left="630" w:hanging="270"/>
      </w:pPr>
      <w:r w:rsidRPr="001C4340">
        <w:t>2- If the SIMI package is effective in enhancing intellectual skills at the levels of rules and higher order rules.</w:t>
      </w:r>
    </w:p>
    <w:p w:rsidR="007600EB" w:rsidRDefault="007600EB" w:rsidP="00911C00">
      <w:pPr>
        <w:spacing w:after="60"/>
        <w:ind w:left="360"/>
      </w:pPr>
      <w:r w:rsidRPr="001C4340">
        <w:t>3- If the SIMI package improves performance in all intellectual skills category.</w:t>
      </w:r>
    </w:p>
    <w:p w:rsidR="007600EB" w:rsidRPr="00FE249A" w:rsidRDefault="007600EB" w:rsidP="00053789">
      <w:pPr>
        <w:pStyle w:val="Heading7"/>
        <w:rPr>
          <w:lang w:bidi="ar-JO"/>
        </w:rPr>
      </w:pPr>
      <w:r w:rsidRPr="00FE249A">
        <w:rPr>
          <w:lang w:bidi="ar-JO"/>
        </w:rPr>
        <w:t>Methods</w:t>
      </w:r>
    </w:p>
    <w:p w:rsidR="007600EB" w:rsidRPr="001C4340" w:rsidRDefault="007600EB" w:rsidP="00053789">
      <w:pPr>
        <w:pStyle w:val="Heading4"/>
        <w:rPr>
          <w:lang w:bidi="ar-JO"/>
        </w:rPr>
      </w:pPr>
      <w:r w:rsidRPr="001C4340">
        <w:rPr>
          <w:lang w:bidi="ar-JO"/>
        </w:rPr>
        <w:t>Participants</w:t>
      </w:r>
    </w:p>
    <w:p w:rsidR="007600EB" w:rsidRDefault="007600EB" w:rsidP="007600EB">
      <w:pPr>
        <w:rPr>
          <w:lang w:bidi="ar-JO"/>
        </w:rPr>
      </w:pPr>
      <w:r w:rsidRPr="00BE17C0">
        <w:rPr>
          <w:lang w:bidi="ar-JO"/>
        </w:rPr>
        <w:t>The population of the study is 700 flight attendants working in Royal Jordanian airline. All are certified flight attendants with a minimum of one year flying experience. All the flight attendants have the basic knowledge of using the computers since there are eight computers provided in the crew centre for the flight attendants use and using computers is part of their job. This study used pilot testing based on 28 flight attendants for formative evaluation and other 70 flight attendants, for summative evaluation, who studied the systematic interactive multimedia instruction (SIMI) package before</w:t>
      </w:r>
      <w:r w:rsidRPr="001C4340">
        <w:rPr>
          <w:lang w:bidi="ar-JO"/>
        </w:rPr>
        <w:t xml:space="preserve"> the flight.</w:t>
      </w:r>
    </w:p>
    <w:p w:rsidR="007600EB" w:rsidRPr="001C4340" w:rsidRDefault="007600EB" w:rsidP="00053789">
      <w:pPr>
        <w:pStyle w:val="Heading4"/>
        <w:rPr>
          <w:lang w:bidi="ar-JO"/>
        </w:rPr>
      </w:pPr>
      <w:r w:rsidRPr="001C4340">
        <w:rPr>
          <w:lang w:bidi="ar-JO"/>
        </w:rPr>
        <w:t>Instrument</w:t>
      </w:r>
    </w:p>
    <w:p w:rsidR="007600EB" w:rsidRDefault="007600EB" w:rsidP="007600EB">
      <w:pPr>
        <w:rPr>
          <w:lang w:bidi="ar-JO"/>
        </w:rPr>
      </w:pPr>
      <w:r w:rsidRPr="001C4340">
        <w:rPr>
          <w:lang w:bidi="ar-JO"/>
        </w:rPr>
        <w:t>This study included one instrument developed by the researcher, namely an achievement test based on task analysis (</w:t>
      </w:r>
      <w:r w:rsidR="001000D9">
        <w:rPr>
          <w:lang w:bidi="ar-JO"/>
        </w:rPr>
        <w:t>F</w:t>
      </w:r>
      <w:r w:rsidRPr="001C4340">
        <w:rPr>
          <w:lang w:bidi="ar-JO"/>
        </w:rPr>
        <w:t xml:space="preserve">igure 3) of Gagne's two domains of learning of verbal information and intellectual skills. To assess the validity of the achievement test in this research, it was given to a jury of six judges who are managers from the in-flight services of Royal Jordanian airline who checked on the content. The test was also presented to four specialists in English language to check on the accuracy of the language used. The achievement test reliability was verified through </w:t>
      </w:r>
      <w:r w:rsidRPr="001C4340">
        <w:rPr>
          <w:lang w:bidi="ar-JO"/>
        </w:rPr>
        <w:lastRenderedPageBreak/>
        <w:t>the use of Spearman-Brown Coefficient available in the SPSS software. 28 flight attendants were chosen for the pilot study. The items were also analyzed for discrimination index and difficulty index befor</w:t>
      </w:r>
      <w:r>
        <w:rPr>
          <w:lang w:bidi="ar-JO"/>
        </w:rPr>
        <w:t>e the achievement test was</w:t>
      </w:r>
      <w:r w:rsidRPr="001C4340">
        <w:rPr>
          <w:lang w:bidi="ar-JO"/>
        </w:rPr>
        <w:t xml:space="preserve"> finalized.</w:t>
      </w:r>
    </w:p>
    <w:p w:rsidR="007600EB" w:rsidRPr="001C4340" w:rsidRDefault="007600EB" w:rsidP="00053789">
      <w:pPr>
        <w:pStyle w:val="Heading4"/>
        <w:rPr>
          <w:lang w:bidi="ar-JO"/>
        </w:rPr>
      </w:pPr>
      <w:r w:rsidRPr="001C4340">
        <w:rPr>
          <w:lang w:bidi="ar-JO"/>
        </w:rPr>
        <w:t xml:space="preserve">Duration of </w:t>
      </w:r>
      <w:r w:rsidR="001000D9">
        <w:rPr>
          <w:lang w:bidi="ar-JO"/>
        </w:rPr>
        <w:t>i</w:t>
      </w:r>
      <w:r w:rsidRPr="001C4340">
        <w:rPr>
          <w:lang w:bidi="ar-JO"/>
        </w:rPr>
        <w:t>nstruction</w:t>
      </w:r>
    </w:p>
    <w:p w:rsidR="007600EB" w:rsidRPr="0054640B" w:rsidRDefault="007600EB" w:rsidP="007600EB">
      <w:pPr>
        <w:rPr>
          <w:lang w:bidi="ar-JO"/>
        </w:rPr>
      </w:pPr>
      <w:r w:rsidRPr="0054640B">
        <w:rPr>
          <w:lang w:bidi="ar-JO"/>
        </w:rPr>
        <w:t>The instruction took place at the crew center of Royal Jordanian airline. The instruction lasted for three hours and forty mi</w:t>
      </w:r>
      <w:r>
        <w:rPr>
          <w:lang w:bidi="ar-JO"/>
        </w:rPr>
        <w:t>nutes in eleven sessions for one month</w:t>
      </w:r>
      <w:r w:rsidRPr="0054640B">
        <w:rPr>
          <w:lang w:bidi="ar-JO"/>
        </w:rPr>
        <w:t xml:space="preserve">. The instruction was within the normal work routines of flight </w:t>
      </w:r>
      <w:r w:rsidRPr="00B83055">
        <w:rPr>
          <w:lang w:bidi="ar-JO"/>
        </w:rPr>
        <w:t>attendants. For formative evaluation</w:t>
      </w:r>
      <w:r w:rsidR="001000D9">
        <w:rPr>
          <w:lang w:bidi="ar-JO"/>
        </w:rPr>
        <w:t>,</w:t>
      </w:r>
      <w:r w:rsidRPr="00B83055">
        <w:rPr>
          <w:lang w:bidi="ar-JO"/>
        </w:rPr>
        <w:t xml:space="preserve"> the instruction was under supervision of the first researcher and for summative evaluation</w:t>
      </w:r>
      <w:r w:rsidR="001000D9">
        <w:rPr>
          <w:lang w:bidi="ar-JO"/>
        </w:rPr>
        <w:t>,</w:t>
      </w:r>
      <w:r w:rsidRPr="00B83055">
        <w:rPr>
          <w:lang w:bidi="ar-JO"/>
        </w:rPr>
        <w:t xml:space="preserve"> the instruction was under supervision of in-flight supervisor.</w:t>
      </w:r>
    </w:p>
    <w:p w:rsidR="007600EB" w:rsidRPr="001C4340" w:rsidRDefault="007600EB" w:rsidP="00053789">
      <w:pPr>
        <w:pStyle w:val="Heading7"/>
        <w:rPr>
          <w:lang w:bidi="ar-JO"/>
        </w:rPr>
      </w:pPr>
      <w:r w:rsidRPr="001C4340">
        <w:rPr>
          <w:lang w:bidi="ar-JO"/>
        </w:rPr>
        <w:t xml:space="preserve">Validation of the SIMI </w:t>
      </w:r>
      <w:r w:rsidR="001000D9">
        <w:rPr>
          <w:lang w:bidi="ar-JO"/>
        </w:rPr>
        <w:t>p</w:t>
      </w:r>
      <w:r w:rsidRPr="001C4340">
        <w:rPr>
          <w:lang w:bidi="ar-JO"/>
        </w:rPr>
        <w:t>ackage</w:t>
      </w:r>
    </w:p>
    <w:p w:rsidR="007600EB" w:rsidRDefault="007600EB" w:rsidP="007600EB">
      <w:pPr>
        <w:rPr>
          <w:highlight w:val="yellow"/>
          <w:lang w:bidi="ar-JO"/>
        </w:rPr>
      </w:pPr>
      <w:r>
        <w:rPr>
          <w:lang w:bidi="ar-JO"/>
        </w:rPr>
        <w:t xml:space="preserve">The </w:t>
      </w:r>
      <w:r w:rsidRPr="0054640B">
        <w:rPr>
          <w:lang w:bidi="ar-JO"/>
        </w:rPr>
        <w:t>author of this study designed and developed systematic interactive multimedia instruction (SIMI) using Flash CS3. Two English language experts assessed the appropriateness of the language. Six mangers from, in-flight services validated the SIMI package.</w:t>
      </w:r>
    </w:p>
    <w:p w:rsidR="007600EB" w:rsidRPr="0054640B" w:rsidRDefault="007600EB" w:rsidP="00053789">
      <w:pPr>
        <w:pStyle w:val="Heading4"/>
        <w:rPr>
          <w:lang w:bidi="ar-JO"/>
        </w:rPr>
      </w:pPr>
      <w:r w:rsidRPr="0054640B">
        <w:rPr>
          <w:lang w:bidi="ar-JO"/>
        </w:rPr>
        <w:t xml:space="preserve">Procedure of the </w:t>
      </w:r>
      <w:r w:rsidR="001000D9">
        <w:rPr>
          <w:lang w:bidi="ar-JO"/>
        </w:rPr>
        <w:t>s</w:t>
      </w:r>
      <w:r w:rsidRPr="0054640B">
        <w:rPr>
          <w:lang w:bidi="ar-JO"/>
        </w:rPr>
        <w:t>tudy</w:t>
      </w:r>
    </w:p>
    <w:p w:rsidR="007600EB" w:rsidRDefault="007600EB" w:rsidP="007600EB">
      <w:pPr>
        <w:rPr>
          <w:lang w:bidi="ar-JO"/>
        </w:rPr>
      </w:pPr>
      <w:r w:rsidRPr="0054640B">
        <w:rPr>
          <w:lang w:bidi="ar-JO"/>
        </w:rPr>
        <w:t xml:space="preserve">As part of formative evaluation, 28 flight attendants studied the package and answered the achievement test under the supervision of the first researcher. Then, reliability of the test was calculated using Spearman-Brown Coefficient available in the SPSS software. The test items were also analyzed for discrimination index and difficulty index before the achievement test was finalized. To test the effectiveness of the SIMI package, </w:t>
      </w:r>
      <w:r w:rsidR="001000D9">
        <w:rPr>
          <w:lang w:bidi="ar-JO"/>
        </w:rPr>
        <w:t xml:space="preserve">a </w:t>
      </w:r>
      <w:r w:rsidRPr="0054640B">
        <w:rPr>
          <w:lang w:bidi="ar-JO"/>
        </w:rPr>
        <w:t>usability questionnaire was used to investigate 28 flight attendants opinions on content, usability, ease of use and satisfaction. After that, as part of summative evaluation</w:t>
      </w:r>
      <w:r w:rsidRPr="00A62CFE">
        <w:rPr>
          <w:lang w:bidi="ar-JO"/>
        </w:rPr>
        <w:t>, 70 flight attendants, chosen randomly, studied the</w:t>
      </w:r>
      <w:r w:rsidRPr="0054640B">
        <w:rPr>
          <w:lang w:bidi="ar-JO"/>
        </w:rPr>
        <w:t xml:space="preserve"> SIMI under supervision of the in-flight supervisor and answered the achievement test. </w:t>
      </w:r>
    </w:p>
    <w:p w:rsidR="007600EB" w:rsidRPr="00CF0C6B" w:rsidRDefault="007600EB" w:rsidP="00053789">
      <w:pPr>
        <w:pStyle w:val="Heading7"/>
        <w:rPr>
          <w:lang w:bidi="ar-JO"/>
        </w:rPr>
      </w:pPr>
      <w:r w:rsidRPr="00CF0C6B">
        <w:rPr>
          <w:lang w:bidi="ar-JO"/>
        </w:rPr>
        <w:t xml:space="preserve">Current </w:t>
      </w:r>
      <w:r w:rsidR="00542238">
        <w:rPr>
          <w:lang w:bidi="ar-JO"/>
        </w:rPr>
        <w:t>practices in training flight a</w:t>
      </w:r>
      <w:r w:rsidR="00542238" w:rsidRPr="00CF0C6B">
        <w:rPr>
          <w:lang w:bidi="ar-JO"/>
        </w:rPr>
        <w:t>ttendants</w:t>
      </w:r>
    </w:p>
    <w:p w:rsidR="007600EB" w:rsidRDefault="007600EB" w:rsidP="007600EB">
      <w:pPr>
        <w:rPr>
          <w:lang w:bidi="ar-JO"/>
        </w:rPr>
      </w:pPr>
      <w:r>
        <w:rPr>
          <w:lang w:bidi="ar-JO"/>
        </w:rPr>
        <w:t xml:space="preserve">In light of the ISA model presented above, flight attendants training is based on two practices. The first one is based on the text based reference of the Safety </w:t>
      </w:r>
      <w:r w:rsidRPr="00A609FD">
        <w:rPr>
          <w:lang w:bidi="ar-JO"/>
        </w:rPr>
        <w:t>manual (Royal Jordanian, 2007).</w:t>
      </w:r>
      <w:r>
        <w:rPr>
          <w:lang w:bidi="ar-JO"/>
        </w:rPr>
        <w:t xml:space="preserve"> The second one is based on the training received at the training center which solely depends on </w:t>
      </w:r>
      <w:r w:rsidR="00542238">
        <w:rPr>
          <w:lang w:bidi="ar-JO"/>
        </w:rPr>
        <w:t>PowerPoint</w:t>
      </w:r>
      <w:r>
        <w:rPr>
          <w:lang w:bidi="ar-JO"/>
        </w:rPr>
        <w:t xml:space="preserve"> presentation</w:t>
      </w:r>
      <w:r w:rsidR="00542238">
        <w:rPr>
          <w:lang w:bidi="ar-JO"/>
        </w:rPr>
        <w:t>s</w:t>
      </w:r>
      <w:r>
        <w:rPr>
          <w:lang w:bidi="ar-JO"/>
        </w:rPr>
        <w:t xml:space="preserve"> in addition to some sort of aircraft description (Jordan Aviation Training and Simulation). These practices do not make use of procedural interactive multimedia presentations as proposed in this research. </w:t>
      </w:r>
    </w:p>
    <w:p w:rsidR="007600EB" w:rsidRPr="00FE249A" w:rsidRDefault="007600EB" w:rsidP="00053789">
      <w:pPr>
        <w:pStyle w:val="Heading7"/>
        <w:rPr>
          <w:lang w:bidi="ar-JO"/>
        </w:rPr>
      </w:pPr>
      <w:r w:rsidRPr="00FE249A">
        <w:rPr>
          <w:lang w:bidi="ar-JO"/>
        </w:rPr>
        <w:t xml:space="preserve">Development of the Systematic Interactive Multimedia Instruction (SIMI) </w:t>
      </w:r>
      <w:r w:rsidR="00542238">
        <w:rPr>
          <w:lang w:bidi="ar-JO"/>
        </w:rPr>
        <w:t>p</w:t>
      </w:r>
      <w:r w:rsidRPr="00FE249A">
        <w:rPr>
          <w:lang w:bidi="ar-JO"/>
        </w:rPr>
        <w:t>ackage</w:t>
      </w:r>
    </w:p>
    <w:p w:rsidR="007600EB" w:rsidRDefault="007600EB" w:rsidP="007600EB">
      <w:r w:rsidRPr="0054640B">
        <w:t>The systematic interactive multimedia instruction (SIMI) courseware in this research includes three lessons on in-flight emergency procedures onboard commercial aircrafts. The instructional lessons are entitled “Cabin Safety Training”. The lessons include "Planned Emergency," "Fire Fighting," and "First-Aid" situations</w:t>
      </w:r>
      <w:r w:rsidRPr="0054640B">
        <w:rPr>
          <w:rtl/>
        </w:rPr>
        <w:t xml:space="preserve"> </w:t>
      </w:r>
      <w:r w:rsidRPr="0054640B">
        <w:t xml:space="preserve">of fainting, unconsciousness and burns. Flash CS3 application software was used in the development of the lessons. The </w:t>
      </w:r>
      <w:r>
        <w:t xml:space="preserve">first </w:t>
      </w:r>
      <w:r w:rsidRPr="0054640B">
        <w:t xml:space="preserve">researcher </w:t>
      </w:r>
      <w:r>
        <w:t xml:space="preserve">in this study </w:t>
      </w:r>
      <w:r w:rsidRPr="0054640B">
        <w:t xml:space="preserve">designed the lessons and developed all the individual parts of the lessons that represent the </w:t>
      </w:r>
      <w:r w:rsidR="00542238">
        <w:t>entire</w:t>
      </w:r>
      <w:r w:rsidRPr="0054640B">
        <w:t xml:space="preserve"> objectives and clusters of objectives according to the instructional analysis chart (Figure 3) that follows Gagne's hierarchical learning. </w:t>
      </w:r>
    </w:p>
    <w:p w:rsidR="007600EB" w:rsidRPr="0054640B" w:rsidRDefault="007600EB" w:rsidP="007600EB">
      <w:r w:rsidRPr="0054640B">
        <w:t xml:space="preserve">This study follows the ISD model by Dick and Carey (2001), which provides </w:t>
      </w:r>
      <w:r w:rsidR="00542238">
        <w:t xml:space="preserve">a </w:t>
      </w:r>
      <w:r w:rsidRPr="0054640B">
        <w:t>step by step approach in creating and improving lessons. An instructional designer does not necessarily have to follow each step in detail but it depends on the needs required (IEEE, 2001). The following steps that represent Dick and Carey Model are adopted in designing the systematic interactive multimedia instruction (SIMI) in this research:</w:t>
      </w:r>
    </w:p>
    <w:p w:rsidR="00911C00" w:rsidRDefault="00911C00">
      <w:pPr>
        <w:spacing w:before="0" w:after="0"/>
      </w:pPr>
      <w:r>
        <w:br w:type="page"/>
      </w:r>
    </w:p>
    <w:p w:rsidR="007600EB" w:rsidRPr="0054640B" w:rsidRDefault="007600EB" w:rsidP="00053789">
      <w:pPr>
        <w:ind w:left="720"/>
        <w:rPr>
          <w:rtl/>
          <w:lang w:bidi="ar-JO"/>
        </w:rPr>
      </w:pPr>
      <w:r w:rsidRPr="0054640B">
        <w:lastRenderedPageBreak/>
        <w:t>1. Identify instructional goals</w:t>
      </w:r>
    </w:p>
    <w:p w:rsidR="007600EB" w:rsidRPr="0054640B" w:rsidRDefault="007600EB" w:rsidP="00053789">
      <w:pPr>
        <w:ind w:left="720"/>
      </w:pPr>
      <w:r w:rsidRPr="0054640B">
        <w:t>2. Conduct instructional analysis</w:t>
      </w:r>
    </w:p>
    <w:p w:rsidR="007600EB" w:rsidRPr="0054640B" w:rsidRDefault="007600EB" w:rsidP="00053789">
      <w:pPr>
        <w:ind w:left="720"/>
      </w:pPr>
      <w:r w:rsidRPr="0054640B">
        <w:t>3. Identify entry behavior</w:t>
      </w:r>
    </w:p>
    <w:p w:rsidR="007600EB" w:rsidRPr="0054640B" w:rsidRDefault="007600EB" w:rsidP="00053789">
      <w:pPr>
        <w:ind w:left="720"/>
      </w:pPr>
      <w:r w:rsidRPr="0054640B">
        <w:t>4. Write performance objectives</w:t>
      </w:r>
    </w:p>
    <w:p w:rsidR="007600EB" w:rsidRPr="0054640B" w:rsidRDefault="007600EB" w:rsidP="00053789">
      <w:pPr>
        <w:ind w:left="720"/>
      </w:pPr>
      <w:r w:rsidRPr="0054640B">
        <w:t>5. Develop criterion-referenced test items</w:t>
      </w:r>
    </w:p>
    <w:p w:rsidR="007600EB" w:rsidRPr="0054640B" w:rsidRDefault="007600EB" w:rsidP="00053789">
      <w:pPr>
        <w:ind w:left="720"/>
      </w:pPr>
      <w:r w:rsidRPr="0054640B">
        <w:t>6- Develop instructional strategy</w:t>
      </w:r>
    </w:p>
    <w:p w:rsidR="007600EB" w:rsidRPr="0054640B" w:rsidRDefault="007600EB" w:rsidP="00053789">
      <w:pPr>
        <w:ind w:left="720"/>
        <w:rPr>
          <w:rtl/>
          <w:lang w:bidi="ar-JO"/>
        </w:rPr>
      </w:pPr>
      <w:r w:rsidRPr="0054640B">
        <w:t>7- Develop instructional material</w:t>
      </w:r>
    </w:p>
    <w:p w:rsidR="007600EB" w:rsidRPr="0054640B" w:rsidRDefault="007600EB" w:rsidP="00053789">
      <w:pPr>
        <w:ind w:left="720"/>
      </w:pPr>
      <w:r w:rsidRPr="0054640B">
        <w:t>8. Design and conduct formative evaluation</w:t>
      </w:r>
    </w:p>
    <w:p w:rsidR="007600EB" w:rsidRPr="0054640B" w:rsidRDefault="007600EB" w:rsidP="00053789">
      <w:pPr>
        <w:ind w:left="720"/>
      </w:pPr>
      <w:r w:rsidRPr="0054640B">
        <w:t>9- Revise instruction</w:t>
      </w:r>
    </w:p>
    <w:p w:rsidR="007600EB" w:rsidRDefault="007600EB" w:rsidP="00053789">
      <w:pPr>
        <w:ind w:left="720"/>
      </w:pPr>
      <w:r w:rsidRPr="0054640B">
        <w:t>9- Design and conduct summative evaluation</w:t>
      </w:r>
    </w:p>
    <w:p w:rsidR="007600EB" w:rsidRDefault="007600EB" w:rsidP="007600EB">
      <w:r w:rsidRPr="0054640B">
        <w:t xml:space="preserve">The first step in the systematic instructional design is </w:t>
      </w:r>
      <w:r w:rsidR="00542238">
        <w:t xml:space="preserve">to </w:t>
      </w:r>
      <w:r w:rsidRPr="0054640B">
        <w:t>identify the goals that refer to the desirable state of affairs. At this stage</w:t>
      </w:r>
      <w:r w:rsidR="00542238">
        <w:t>,</w:t>
      </w:r>
      <w:r w:rsidRPr="0054640B">
        <w:t xml:space="preserve"> the instructional designer has to identify what the learner will be able to do at the end of instruction (Dick &amp; Carey, 2001; Frisby &amp; Day, 2003)</w:t>
      </w:r>
      <w:r w:rsidR="00542238">
        <w:t>.</w:t>
      </w:r>
      <w:r w:rsidRPr="0054640B">
        <w:t xml:space="preserve"> The instructional goals can be identified </w:t>
      </w:r>
      <w:r w:rsidR="00542238">
        <w:t>by</w:t>
      </w:r>
      <w:r w:rsidRPr="0054640B">
        <w:t xml:space="preserve"> conducting </w:t>
      </w:r>
      <w:r w:rsidR="00542238">
        <w:t xml:space="preserve">a </w:t>
      </w:r>
      <w:r w:rsidRPr="0054640B">
        <w:t>needs a</w:t>
      </w:r>
      <w:r>
        <w:t xml:space="preserve">nalysis </w:t>
      </w:r>
      <w:r w:rsidR="00542238">
        <w:t>to determine</w:t>
      </w:r>
      <w:r>
        <w:t xml:space="preserve"> the gap</w:t>
      </w:r>
      <w:r w:rsidRPr="0054640B">
        <w:t xml:space="preserve"> between the current situation and the desired outcome or ideal situation (Dick &amp; Carey, 2001). In this research</w:t>
      </w:r>
      <w:r w:rsidR="00542238">
        <w:t>,</w:t>
      </w:r>
      <w:r w:rsidRPr="0054640B">
        <w:t xml:space="preserve"> because the core duty of the flight attendants onboard is </w:t>
      </w:r>
      <w:r w:rsidRPr="00B7135A">
        <w:t xml:space="preserve">safety, Bani Salameh </w:t>
      </w:r>
      <w:r w:rsidRPr="00542238">
        <w:rPr>
          <w:i/>
        </w:rPr>
        <w:t>et al</w:t>
      </w:r>
      <w:r w:rsidRPr="00B7135A">
        <w:t xml:space="preserve"> (2009, 2010a, 2010b) shed</w:t>
      </w:r>
      <w:r w:rsidRPr="0054640B">
        <w:t xml:space="preserve"> light on instructional needs of the flight attendants to study through meaningful CBT instruction.</w:t>
      </w:r>
    </w:p>
    <w:p w:rsidR="007600EB" w:rsidRPr="0054640B" w:rsidRDefault="007600EB" w:rsidP="007600EB">
      <w:pPr>
        <w:rPr>
          <w:rtl/>
          <w:lang w:bidi="ar-JO"/>
        </w:rPr>
      </w:pPr>
      <w:r w:rsidRPr="0054640B">
        <w:t xml:space="preserve">The second stage is instructional analysis refers to the component skills required to perform a task as in </w:t>
      </w:r>
      <w:r w:rsidR="00542238">
        <w:t xml:space="preserve">a </w:t>
      </w:r>
      <w:r w:rsidRPr="0054640B">
        <w:t>task analysis or procedural analysis. Task analysis requires specifying learning in terms of the five domains of learning</w:t>
      </w:r>
      <w:r w:rsidR="00542238">
        <w:t>:</w:t>
      </w:r>
      <w:r w:rsidRPr="0054640B">
        <w:t xml:space="preserve"> verbal information, intellectual skills, cognitive strategies, attitudes and motor skills (Gagne, 1968,</w:t>
      </w:r>
      <w:r w:rsidR="00053789">
        <w:t xml:space="preserve"> </w:t>
      </w:r>
      <w:r w:rsidRPr="0054640B">
        <w:t>1977,</w:t>
      </w:r>
      <w:r w:rsidR="00053789">
        <w:t xml:space="preserve"> </w:t>
      </w:r>
      <w:r w:rsidRPr="0054640B">
        <w:t xml:space="preserve">1992). Task analysis in this research is based on Gagne’s learning hierarchies </w:t>
      </w:r>
      <w:r w:rsidR="00542238">
        <w:t>and</w:t>
      </w:r>
      <w:r w:rsidRPr="0054640B">
        <w:t xml:space="preserve"> are associated with a number of intellectual capabilities such as </w:t>
      </w:r>
      <w:r w:rsidRPr="0054640B">
        <w:rPr>
          <w:i/>
          <w:iCs/>
        </w:rPr>
        <w:t>intellectual skills and verbal information</w:t>
      </w:r>
      <w:r w:rsidRPr="0054640B">
        <w:t xml:space="preserve"> which are the focus of this research. The safety duties of the flight attendants are primarily categorized as procedural tasks or intellectual tasks.</w:t>
      </w:r>
      <w:r>
        <w:t xml:space="preserve"> </w:t>
      </w:r>
      <w:r w:rsidRPr="0054640B">
        <w:t>Learning hierarchies have ordered connections with each other and they require analyzing an objective into its subordinate constituents that lead to higher order rules (Gagne, 1968). Hierarchical learning starts with discrimination such as discriminating between normal call and emergency call from the cockpit and then moves to a higher level</w:t>
      </w:r>
      <w:r w:rsidRPr="00BB3D8F">
        <w:t xml:space="preserve"> </w:t>
      </w:r>
      <w:r w:rsidRPr="0054640B">
        <w:t>of concept such as NITES which represent a number of rules that lead to the solution of the problem and safe evacuation of passengers. Another higher level is rules then higher order rules. An example of rules is initiating emergency call from cockpit. A combination of rules divided into smaller chunks make up the higher order rules that lead to transfer of learning to new situations and problem solving.</w:t>
      </w:r>
    </w:p>
    <w:p w:rsidR="007600EB" w:rsidRDefault="007600EB" w:rsidP="007600EB">
      <w:r w:rsidRPr="0054640B">
        <w:t xml:space="preserve">To achieve the general goal and objectives set already, the researcher conducted </w:t>
      </w:r>
      <w:r w:rsidR="00D00723">
        <w:t xml:space="preserve">an </w:t>
      </w:r>
      <w:r w:rsidRPr="0054640B">
        <w:t>instructional analysis on three lessons adopted from the flight attendant in-flight safety manual of Royal Jordanian airline</w:t>
      </w:r>
      <w:r w:rsidR="00D00723">
        <w:t>s</w:t>
      </w:r>
      <w:r w:rsidRPr="0054640B">
        <w:t>. Figure 3 represents the task analysis of the lesson of planned emergency based on Gagne's two domains of learning of verbal information and intellectual skills.</w:t>
      </w:r>
    </w:p>
    <w:p w:rsidR="00053789" w:rsidRDefault="00053789" w:rsidP="00D00723">
      <w:r w:rsidRPr="0054640B">
        <w:t>The entry behaviors according to Dick and Carey (2001) can be determined based on the previous knowledge of learners. The flight attendants in this research have passed through the basic safety training (BST) and refresher training (RT) and they go through the duty loop of ISA model at least ten times a month. Therefore, they have substantial safety knowledge and skills that is supposed to cover entry behaviors. For example, flight attendants have the previous knowledge of the communication system as well as the electronic panels onboard</w:t>
      </w:r>
      <w:r>
        <w:t>.</w:t>
      </w:r>
    </w:p>
    <w:p w:rsidR="007600EB" w:rsidRDefault="007600EB" w:rsidP="007600EB">
      <w:pPr>
        <w:sectPr w:rsidR="007600EB" w:rsidSect="007600EB">
          <w:headerReference w:type="even" r:id="rId14"/>
          <w:headerReference w:type="default" r:id="rId15"/>
          <w:footerReference w:type="default" r:id="rId16"/>
          <w:pgSz w:w="12240" w:h="15840" w:code="1"/>
          <w:pgMar w:top="1440" w:right="1800" w:bottom="1440" w:left="1800" w:header="720" w:footer="720" w:gutter="0"/>
          <w:pgNumType w:start="1"/>
          <w:cols w:space="720"/>
          <w:docGrid w:linePitch="360"/>
        </w:sectPr>
      </w:pPr>
      <w:r w:rsidRPr="00BB3D8F">
        <w:t xml:space="preserve">    </w:t>
      </w:r>
    </w:p>
    <w:p w:rsidR="007600EB" w:rsidRPr="00BB3D8F" w:rsidRDefault="007600EB" w:rsidP="007600EB">
      <w:pPr>
        <w:rPr>
          <w:rtl/>
          <w:lang w:bidi="ar-JO"/>
        </w:rPr>
      </w:pPr>
      <w:r w:rsidRPr="00FD7D07">
        <w:rPr>
          <w:noProof/>
        </w:rPr>
        <w:lastRenderedPageBreak/>
        <w:drawing>
          <wp:inline distT="0" distB="0" distL="0" distR="0" wp14:anchorId="4EB24BE3" wp14:editId="29161DAE">
            <wp:extent cx="8169910" cy="49041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9910" cy="4904105"/>
                    </a:xfrm>
                    <a:prstGeom prst="rect">
                      <a:avLst/>
                    </a:prstGeom>
                    <a:noFill/>
                    <a:ln>
                      <a:noFill/>
                    </a:ln>
                  </pic:spPr>
                </pic:pic>
              </a:graphicData>
            </a:graphic>
          </wp:inline>
        </w:drawing>
      </w:r>
    </w:p>
    <w:p w:rsidR="007600EB" w:rsidRDefault="007600EB" w:rsidP="00911C00">
      <w:pPr>
        <w:pStyle w:val="Heading7"/>
        <w:jc w:val="center"/>
      </w:pPr>
      <w:r w:rsidRPr="006C48FF">
        <w:t xml:space="preserve">Figure 3: Task </w:t>
      </w:r>
      <w:r w:rsidR="00DC690B">
        <w:t>a</w:t>
      </w:r>
      <w:r w:rsidRPr="006C48FF">
        <w:t xml:space="preserve">nalysis of </w:t>
      </w:r>
      <w:r w:rsidR="00DC690B">
        <w:t>p</w:t>
      </w:r>
      <w:r w:rsidRPr="006C48FF">
        <w:t xml:space="preserve">lanned </w:t>
      </w:r>
      <w:r w:rsidR="00DC690B">
        <w:t>e</w:t>
      </w:r>
      <w:r w:rsidRPr="006C48FF">
        <w:t xml:space="preserve">mergency according to Gagne's </w:t>
      </w:r>
      <w:r w:rsidR="00DC690B">
        <w:t>h</w:t>
      </w:r>
      <w:r w:rsidRPr="006C48FF">
        <w:t xml:space="preserve">ierarchical </w:t>
      </w:r>
      <w:r w:rsidR="00DC690B">
        <w:t>l</w:t>
      </w:r>
      <w:r w:rsidRPr="006C48FF">
        <w:t>earning</w:t>
      </w:r>
    </w:p>
    <w:p w:rsidR="007600EB" w:rsidRDefault="007600EB" w:rsidP="007600EB">
      <w:pPr>
        <w:rPr>
          <w:b/>
          <w:bCs/>
          <w:sz w:val="20"/>
        </w:rPr>
        <w:sectPr w:rsidR="007600EB" w:rsidSect="003E5C24">
          <w:pgSz w:w="15840" w:h="12240" w:orient="landscape" w:code="1"/>
          <w:pgMar w:top="1800" w:right="1440" w:bottom="1800" w:left="1440" w:header="720" w:footer="720" w:gutter="0"/>
          <w:pgNumType w:start="9"/>
          <w:cols w:space="720"/>
          <w:docGrid w:linePitch="360"/>
        </w:sectPr>
      </w:pPr>
    </w:p>
    <w:p w:rsidR="007600EB" w:rsidRDefault="007600EB" w:rsidP="007600EB">
      <w:pPr>
        <w:rPr>
          <w:b/>
          <w:bCs/>
          <w:sz w:val="20"/>
        </w:rPr>
      </w:pPr>
      <w:r w:rsidRPr="0054640B">
        <w:rPr>
          <w:sz w:val="20"/>
        </w:rPr>
        <w:lastRenderedPageBreak/>
        <w:t xml:space="preserve">The goals refer to the general aims of the course. For example, the general goal of planned emergency lesson for the flight attendants is to be able to recall the safety knowledge and master the </w:t>
      </w:r>
      <w:r w:rsidR="00D00723" w:rsidRPr="0054640B">
        <w:rPr>
          <w:sz w:val="20"/>
        </w:rPr>
        <w:t xml:space="preserve">detailed </w:t>
      </w:r>
      <w:r w:rsidRPr="0054640B">
        <w:rPr>
          <w:sz w:val="20"/>
        </w:rPr>
        <w:t xml:space="preserve">emergency procedures </w:t>
      </w:r>
      <w:r w:rsidR="00D00723">
        <w:rPr>
          <w:sz w:val="20"/>
        </w:rPr>
        <w:t>for a</w:t>
      </w:r>
      <w:r w:rsidRPr="0054640B">
        <w:rPr>
          <w:sz w:val="20"/>
        </w:rPr>
        <w:t xml:space="preserve"> planned emergency to achieve the terminal objective. </w:t>
      </w:r>
      <w:r w:rsidR="00D00723">
        <w:rPr>
          <w:sz w:val="20"/>
        </w:rPr>
        <w:t>Specific o</w:t>
      </w:r>
      <w:r w:rsidRPr="0054640B">
        <w:rPr>
          <w:sz w:val="20"/>
        </w:rPr>
        <w:t>bjectives are constituents of the terminal objective</w:t>
      </w:r>
      <w:r w:rsidR="00D00723">
        <w:rPr>
          <w:sz w:val="20"/>
        </w:rPr>
        <w:t>. They include</w:t>
      </w:r>
      <w:r w:rsidRPr="0054640B">
        <w:rPr>
          <w:sz w:val="20"/>
        </w:rPr>
        <w:t xml:space="preserve"> preparing passengers, preparing the cabin and preparing galleys for emergency landing. Objectives specify what students will be able to do after finishing the instruction. Objectives</w:t>
      </w:r>
      <w:r w:rsidRPr="00BB3D8F">
        <w:t xml:space="preserve"> </w:t>
      </w:r>
      <w:r w:rsidRPr="0054640B">
        <w:rPr>
          <w:sz w:val="20"/>
        </w:rPr>
        <w:t>in this research are written in light of the task analysis chart based on two of the five domains of learning by Gagne</w:t>
      </w:r>
      <w:r w:rsidR="00D00723">
        <w:rPr>
          <w:sz w:val="20"/>
        </w:rPr>
        <w:t>,</w:t>
      </w:r>
      <w:r w:rsidRPr="0054640B">
        <w:rPr>
          <w:sz w:val="20"/>
        </w:rPr>
        <w:t xml:space="preserve"> particularly verbal informati</w:t>
      </w:r>
      <w:r w:rsidR="00053789">
        <w:rPr>
          <w:sz w:val="20"/>
        </w:rPr>
        <w:t>on and intellectual skills.</w:t>
      </w:r>
    </w:p>
    <w:p w:rsidR="007600EB" w:rsidRDefault="007600EB" w:rsidP="007600EB">
      <w:pPr>
        <w:rPr>
          <w:sz w:val="20"/>
          <w:rtl/>
          <w:lang w:bidi="ar-JO"/>
        </w:rPr>
      </w:pPr>
      <w:r w:rsidRPr="0054640B">
        <w:rPr>
          <w:sz w:val="20"/>
        </w:rPr>
        <w:t xml:space="preserve">Writing test items in this research is achieved in </w:t>
      </w:r>
      <w:r w:rsidR="00D00723">
        <w:rPr>
          <w:sz w:val="20"/>
        </w:rPr>
        <w:t>the context</w:t>
      </w:r>
      <w:r w:rsidRPr="0054640B">
        <w:rPr>
          <w:sz w:val="20"/>
        </w:rPr>
        <w:t xml:space="preserve"> already </w:t>
      </w:r>
      <w:r w:rsidR="00D00723">
        <w:rPr>
          <w:sz w:val="20"/>
        </w:rPr>
        <w:t xml:space="preserve">set </w:t>
      </w:r>
      <w:r w:rsidRPr="0054640B">
        <w:rPr>
          <w:sz w:val="20"/>
        </w:rPr>
        <w:t xml:space="preserve">in the objectives. The purpose of test items in this research is to decide what the learner will able to do at the end of instruction. That is, they measure attainment of the desired terminal objectives. Test items are based on objectives set </w:t>
      </w:r>
      <w:r w:rsidR="00D00723">
        <w:rPr>
          <w:sz w:val="20"/>
        </w:rPr>
        <w:t>previously</w:t>
      </w:r>
      <w:r w:rsidRPr="0054640B">
        <w:rPr>
          <w:sz w:val="20"/>
        </w:rPr>
        <w:t xml:space="preserve"> based on the task analysis </w:t>
      </w:r>
      <w:r w:rsidR="00D00723">
        <w:rPr>
          <w:sz w:val="20"/>
        </w:rPr>
        <w:t>and</w:t>
      </w:r>
      <w:r w:rsidRPr="0054640B">
        <w:rPr>
          <w:sz w:val="20"/>
        </w:rPr>
        <w:t xml:space="preserve"> content of a particular cluster </w:t>
      </w:r>
    </w:p>
    <w:p w:rsidR="007600EB" w:rsidRPr="0054640B" w:rsidRDefault="007600EB" w:rsidP="007600EB">
      <w:pPr>
        <w:rPr>
          <w:sz w:val="20"/>
          <w:rtl/>
          <w:lang w:bidi="ar-JO"/>
        </w:rPr>
      </w:pPr>
      <w:r w:rsidRPr="0054640B">
        <w:rPr>
          <w:sz w:val="20"/>
        </w:rPr>
        <w:t xml:space="preserve">Instructional strategy is a framework for </w:t>
      </w:r>
      <w:r w:rsidR="00D00723">
        <w:rPr>
          <w:sz w:val="20"/>
        </w:rPr>
        <w:t>a</w:t>
      </w:r>
      <w:r w:rsidRPr="0054640B">
        <w:rPr>
          <w:sz w:val="20"/>
        </w:rPr>
        <w:t xml:space="preserve"> plan </w:t>
      </w:r>
      <w:r w:rsidR="00D00723">
        <w:rPr>
          <w:sz w:val="20"/>
        </w:rPr>
        <w:t>to</w:t>
      </w:r>
      <w:r w:rsidRPr="0054640B">
        <w:rPr>
          <w:sz w:val="20"/>
        </w:rPr>
        <w:t xml:space="preserve"> help learners attain the performance objectives. In this research</w:t>
      </w:r>
      <w:r w:rsidR="00D00723">
        <w:rPr>
          <w:sz w:val="20"/>
        </w:rPr>
        <w:t>,</w:t>
      </w:r>
      <w:r w:rsidRPr="0054640B">
        <w:rPr>
          <w:sz w:val="20"/>
        </w:rPr>
        <w:t xml:space="preserve"> the instructional strategy is based on </w:t>
      </w:r>
      <w:r w:rsidR="00D00723">
        <w:rPr>
          <w:sz w:val="20"/>
        </w:rPr>
        <w:t xml:space="preserve">the </w:t>
      </w:r>
      <w:r w:rsidRPr="0054640B">
        <w:rPr>
          <w:sz w:val="20"/>
        </w:rPr>
        <w:t>Dick and Carey (2001) model</w:t>
      </w:r>
      <w:r w:rsidR="00D00723">
        <w:rPr>
          <w:sz w:val="20"/>
        </w:rPr>
        <w:t>.</w:t>
      </w:r>
      <w:r w:rsidRPr="0054640B">
        <w:rPr>
          <w:sz w:val="20"/>
        </w:rPr>
        <w:t xml:space="preserve"> First, the </w:t>
      </w:r>
      <w:r>
        <w:rPr>
          <w:sz w:val="20"/>
        </w:rPr>
        <w:t xml:space="preserve">first </w:t>
      </w:r>
      <w:r w:rsidRPr="0054640B">
        <w:rPr>
          <w:sz w:val="20"/>
        </w:rPr>
        <w:t>researcher</w:t>
      </w:r>
      <w:r w:rsidR="00D00723">
        <w:rPr>
          <w:sz w:val="20"/>
        </w:rPr>
        <w:t>,</w:t>
      </w:r>
      <w:r w:rsidRPr="0054640B">
        <w:rPr>
          <w:sz w:val="20"/>
        </w:rPr>
        <w:t xml:space="preserve"> who is </w:t>
      </w:r>
      <w:r w:rsidR="005765DD">
        <w:rPr>
          <w:sz w:val="20"/>
        </w:rPr>
        <w:t xml:space="preserve">also </w:t>
      </w:r>
      <w:r w:rsidRPr="0054640B">
        <w:rPr>
          <w:sz w:val="20"/>
        </w:rPr>
        <w:t>the designer</w:t>
      </w:r>
      <w:r w:rsidR="00D00723">
        <w:rPr>
          <w:sz w:val="20"/>
        </w:rPr>
        <w:t>,</w:t>
      </w:r>
      <w:r w:rsidRPr="0054640B">
        <w:rPr>
          <w:sz w:val="20"/>
        </w:rPr>
        <w:t xml:space="preserve"> sequenced and clustered the objectives. Verbal information is included within the cluster of intellectual skills to have meaningful learning and cater for shortcomings </w:t>
      </w:r>
      <w:r w:rsidR="005765DD">
        <w:rPr>
          <w:sz w:val="20"/>
        </w:rPr>
        <w:t>and</w:t>
      </w:r>
      <w:r w:rsidRPr="0054640B">
        <w:rPr>
          <w:sz w:val="20"/>
        </w:rPr>
        <w:t xml:space="preserve"> fragmentation in the flight attendant in-flight safety manual and to avoid boredom. Flight attendants have previous knowledge of the safety knowledge and skills and they are certified flight attendants. Therefore, entry behaviors are not provided within the clusters, but the design will emphasize meaningful un-fragmented learning. For example, the first cluster in the lesson of planned emergency includes emergency declaration by the flight deck followed by relaying and acknowledgment of NITES </w:t>
      </w:r>
      <w:r>
        <w:rPr>
          <w:sz w:val="20"/>
        </w:rPr>
        <w:t>(An appre</w:t>
      </w:r>
      <w:r w:rsidR="002E0175">
        <w:rPr>
          <w:sz w:val="20"/>
        </w:rPr>
        <w:t>c</w:t>
      </w:r>
      <w:r>
        <w:rPr>
          <w:sz w:val="20"/>
        </w:rPr>
        <w:t xml:space="preserve">iation of detailed procedure for planned emergency) </w:t>
      </w:r>
      <w:r w:rsidRPr="0054640B">
        <w:rPr>
          <w:sz w:val="20"/>
        </w:rPr>
        <w:t>by the IFS and then relaying NITES through conference call to the flight attendants.</w:t>
      </w:r>
      <w:r>
        <w:rPr>
          <w:sz w:val="20"/>
        </w:rPr>
        <w:t xml:space="preserve"> </w:t>
      </w:r>
      <w:r w:rsidRPr="0054640B">
        <w:rPr>
          <w:sz w:val="20"/>
        </w:rPr>
        <w:t>Second, each cluster in the systematic interactive multimedia instruction (SIMI) will be designed as one individual lesson based on the learning components that make use of Gagne’s events of instruction to facilitate mastery of learning outcomes. The learning components in this research make use of both verbal information and intellectual skills out of the five learning outcomes following Gagne’s hierarchies of learning. Gagne’s events of instruction represent the learning components that are used in addressing each domain of learning:</w:t>
      </w:r>
    </w:p>
    <w:p w:rsidR="007600EB" w:rsidRPr="0054640B" w:rsidRDefault="007600EB" w:rsidP="005765DD">
      <w:pPr>
        <w:spacing w:after="60"/>
        <w:ind w:left="720"/>
        <w:rPr>
          <w:sz w:val="20"/>
          <w:rtl/>
          <w:lang w:bidi="ar-JO"/>
        </w:rPr>
      </w:pPr>
      <w:r w:rsidRPr="0054640B">
        <w:rPr>
          <w:sz w:val="20"/>
        </w:rPr>
        <w:t>1.</w:t>
      </w:r>
      <w:r w:rsidR="00053789">
        <w:rPr>
          <w:sz w:val="20"/>
        </w:rPr>
        <w:t xml:space="preserve"> </w:t>
      </w:r>
      <w:r w:rsidRPr="0054640B">
        <w:rPr>
          <w:sz w:val="20"/>
        </w:rPr>
        <w:t>Gaining attention</w:t>
      </w:r>
    </w:p>
    <w:p w:rsidR="007600EB" w:rsidRPr="0054640B" w:rsidRDefault="007600EB" w:rsidP="005765DD">
      <w:pPr>
        <w:spacing w:after="60"/>
        <w:ind w:left="720"/>
        <w:rPr>
          <w:sz w:val="20"/>
        </w:rPr>
      </w:pPr>
      <w:r w:rsidRPr="0054640B">
        <w:rPr>
          <w:sz w:val="20"/>
        </w:rPr>
        <w:t>2. Informing the learner of the objective</w:t>
      </w:r>
    </w:p>
    <w:p w:rsidR="007600EB" w:rsidRPr="0054640B" w:rsidRDefault="007600EB" w:rsidP="005765DD">
      <w:pPr>
        <w:spacing w:after="60"/>
        <w:ind w:left="720"/>
        <w:rPr>
          <w:sz w:val="20"/>
        </w:rPr>
      </w:pPr>
      <w:r w:rsidRPr="0054640B">
        <w:rPr>
          <w:sz w:val="20"/>
        </w:rPr>
        <w:t>3. Stimulating recall of prior learning</w:t>
      </w:r>
    </w:p>
    <w:p w:rsidR="007600EB" w:rsidRPr="0054640B" w:rsidRDefault="007600EB" w:rsidP="005765DD">
      <w:pPr>
        <w:spacing w:after="60"/>
        <w:ind w:left="720"/>
        <w:rPr>
          <w:sz w:val="20"/>
        </w:rPr>
      </w:pPr>
      <w:r w:rsidRPr="0054640B">
        <w:rPr>
          <w:sz w:val="20"/>
        </w:rPr>
        <w:t>4. Presenting the stimulus</w:t>
      </w:r>
    </w:p>
    <w:p w:rsidR="007600EB" w:rsidRPr="0054640B" w:rsidRDefault="007600EB" w:rsidP="005765DD">
      <w:pPr>
        <w:spacing w:after="60"/>
        <w:ind w:left="720"/>
        <w:rPr>
          <w:sz w:val="20"/>
        </w:rPr>
      </w:pPr>
      <w:r w:rsidRPr="0054640B">
        <w:rPr>
          <w:sz w:val="20"/>
        </w:rPr>
        <w:t>5. Providing learner guidance</w:t>
      </w:r>
    </w:p>
    <w:p w:rsidR="007600EB" w:rsidRPr="0054640B" w:rsidRDefault="007600EB" w:rsidP="005765DD">
      <w:pPr>
        <w:spacing w:after="60"/>
        <w:ind w:left="720"/>
        <w:rPr>
          <w:sz w:val="20"/>
        </w:rPr>
      </w:pPr>
      <w:r w:rsidRPr="0054640B">
        <w:rPr>
          <w:sz w:val="20"/>
        </w:rPr>
        <w:t>6. Eliciting performance</w:t>
      </w:r>
    </w:p>
    <w:p w:rsidR="007600EB" w:rsidRPr="0054640B" w:rsidRDefault="007600EB" w:rsidP="005765DD">
      <w:pPr>
        <w:spacing w:after="60"/>
        <w:ind w:left="720"/>
        <w:rPr>
          <w:sz w:val="20"/>
        </w:rPr>
      </w:pPr>
      <w:r w:rsidRPr="0054640B">
        <w:rPr>
          <w:sz w:val="20"/>
        </w:rPr>
        <w:t>7. Giving feedback</w:t>
      </w:r>
    </w:p>
    <w:p w:rsidR="007600EB" w:rsidRPr="0054640B" w:rsidRDefault="007600EB" w:rsidP="005765DD">
      <w:pPr>
        <w:spacing w:after="60"/>
        <w:ind w:left="720"/>
        <w:rPr>
          <w:sz w:val="20"/>
        </w:rPr>
      </w:pPr>
      <w:r w:rsidRPr="0054640B">
        <w:rPr>
          <w:sz w:val="20"/>
        </w:rPr>
        <w:t>8. Assessing performance</w:t>
      </w:r>
    </w:p>
    <w:p w:rsidR="007600EB" w:rsidRDefault="007600EB" w:rsidP="005765DD">
      <w:pPr>
        <w:spacing w:after="60"/>
        <w:ind w:left="720"/>
        <w:rPr>
          <w:sz w:val="20"/>
        </w:rPr>
      </w:pPr>
      <w:r w:rsidRPr="0054640B">
        <w:rPr>
          <w:sz w:val="20"/>
        </w:rPr>
        <w:t>9. Enhancing retention and transfer</w:t>
      </w:r>
    </w:p>
    <w:p w:rsidR="007600EB" w:rsidRDefault="007600EB" w:rsidP="007600EB">
      <w:pPr>
        <w:rPr>
          <w:sz w:val="20"/>
        </w:rPr>
      </w:pPr>
      <w:r w:rsidRPr="0054640B">
        <w:rPr>
          <w:sz w:val="20"/>
        </w:rPr>
        <w:t>The third component</w:t>
      </w:r>
      <w:r>
        <w:rPr>
          <w:sz w:val="20"/>
        </w:rPr>
        <w:t xml:space="preserve"> of this strategy will address</w:t>
      </w:r>
      <w:r w:rsidRPr="0054640B">
        <w:rPr>
          <w:sz w:val="20"/>
        </w:rPr>
        <w:t xml:space="preserve"> computer based Training (CBT) as a delivery system to deliver instruction. After each individual cluster is prepared based on Gagne's events of instruction, the researcher</w:t>
      </w:r>
      <w:r w:rsidR="005765DD">
        <w:rPr>
          <w:sz w:val="20"/>
        </w:rPr>
        <w:t>,</w:t>
      </w:r>
      <w:r w:rsidRPr="0054640B">
        <w:rPr>
          <w:sz w:val="20"/>
        </w:rPr>
        <w:t xml:space="preserve"> who is</w:t>
      </w:r>
      <w:r w:rsidR="005765DD">
        <w:rPr>
          <w:sz w:val="20"/>
        </w:rPr>
        <w:t xml:space="preserve"> also</w:t>
      </w:r>
      <w:r w:rsidRPr="0054640B">
        <w:rPr>
          <w:sz w:val="20"/>
        </w:rPr>
        <w:t xml:space="preserve"> the designer</w:t>
      </w:r>
      <w:r w:rsidR="005765DD">
        <w:rPr>
          <w:sz w:val="20"/>
        </w:rPr>
        <w:t>,</w:t>
      </w:r>
      <w:r w:rsidRPr="0054640B">
        <w:rPr>
          <w:sz w:val="20"/>
        </w:rPr>
        <w:t xml:space="preserve"> assembled the individual clusters into the whole package. At this stage the interface (Home) was developed, which represents the main page of the program, to be interconnected with the individual clusters </w:t>
      </w:r>
      <w:r w:rsidRPr="00B7135A">
        <w:rPr>
          <w:sz w:val="20"/>
        </w:rPr>
        <w:t>as presented in Plate 2.</w:t>
      </w:r>
    </w:p>
    <w:p w:rsidR="007600EB" w:rsidRDefault="007600EB" w:rsidP="007600EB">
      <w:pPr>
        <w:rPr>
          <w:sz w:val="20"/>
        </w:rPr>
      </w:pPr>
      <w:r w:rsidRPr="0054640B">
        <w:rPr>
          <w:sz w:val="20"/>
        </w:rPr>
        <w:t>Table 1 clarifies the use of the different components of intellectual skills and verbal information as it appears in the achievement test instrument:</w:t>
      </w:r>
    </w:p>
    <w:p w:rsidR="00053789" w:rsidRDefault="00053789">
      <w:pPr>
        <w:spacing w:before="0" w:after="0"/>
        <w:rPr>
          <w:b/>
          <w:bCs/>
          <w:szCs w:val="22"/>
        </w:rPr>
      </w:pPr>
      <w:r>
        <w:rPr>
          <w:b/>
          <w:bCs/>
          <w:szCs w:val="22"/>
        </w:rPr>
        <w:br w:type="page"/>
      </w:r>
    </w:p>
    <w:p w:rsidR="007600EB" w:rsidRDefault="007600EB" w:rsidP="00053789">
      <w:pPr>
        <w:pStyle w:val="Heading5"/>
      </w:pPr>
      <w:r w:rsidRPr="00D92889">
        <w:lastRenderedPageBreak/>
        <w:t>Table 1</w:t>
      </w:r>
    </w:p>
    <w:p w:rsidR="007600EB" w:rsidRPr="0023235F" w:rsidRDefault="007600EB" w:rsidP="00053789">
      <w:pPr>
        <w:pStyle w:val="Heading5"/>
      </w:pPr>
      <w:r w:rsidRPr="00D92889">
        <w:t xml:space="preserve">Test </w:t>
      </w:r>
      <w:r w:rsidR="002E0175">
        <w:t>i</w:t>
      </w:r>
      <w:r w:rsidRPr="00D92889">
        <w:t>tem</w:t>
      </w:r>
      <w:r w:rsidRPr="0023235F">
        <w:t xml:space="preserve">s </w:t>
      </w:r>
      <w:r w:rsidR="002E0175">
        <w:t>d</w:t>
      </w:r>
      <w:r w:rsidRPr="0023235F">
        <w:t xml:space="preserve">istribution in </w:t>
      </w:r>
      <w:r w:rsidR="002E0175">
        <w:t>v</w:t>
      </w:r>
      <w:r w:rsidRPr="0023235F">
        <w:t xml:space="preserve">erbal </w:t>
      </w:r>
      <w:r w:rsidR="002E0175">
        <w:t>i</w:t>
      </w:r>
      <w:r w:rsidRPr="0023235F">
        <w:t xml:space="preserve">nformation and </w:t>
      </w:r>
      <w:r w:rsidR="002E0175">
        <w:t>i</w:t>
      </w:r>
      <w:r w:rsidRPr="0023235F">
        <w:t xml:space="preserve">ntellectual </w:t>
      </w:r>
      <w:r w:rsidR="002E0175">
        <w:t>s</w:t>
      </w:r>
      <w:r w:rsidRPr="0023235F">
        <w:t>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1345"/>
        <w:gridCol w:w="1608"/>
        <w:gridCol w:w="1069"/>
        <w:gridCol w:w="1050"/>
        <w:gridCol w:w="1399"/>
        <w:gridCol w:w="1423"/>
      </w:tblGrid>
      <w:tr w:rsidR="007600EB" w:rsidRPr="0023235F" w:rsidTr="007600EB">
        <w:tc>
          <w:tcPr>
            <w:tcW w:w="749" w:type="dxa"/>
            <w:vMerge w:val="restart"/>
          </w:tcPr>
          <w:p w:rsidR="007600EB" w:rsidRPr="006317C9" w:rsidRDefault="007600EB" w:rsidP="006317C9">
            <w:pPr>
              <w:pStyle w:val="Heading8"/>
              <w:spacing w:before="10" w:after="10"/>
              <w:rPr>
                <w:sz w:val="16"/>
                <w:szCs w:val="16"/>
                <w:rtl/>
                <w:lang w:bidi="ar-JO"/>
              </w:rPr>
            </w:pPr>
            <w:r w:rsidRPr="006317C9">
              <w:rPr>
                <w:sz w:val="16"/>
                <w:szCs w:val="16"/>
              </w:rPr>
              <w:t>No</w:t>
            </w:r>
          </w:p>
        </w:tc>
        <w:tc>
          <w:tcPr>
            <w:tcW w:w="1429" w:type="dxa"/>
            <w:vAlign w:val="center"/>
          </w:tcPr>
          <w:p w:rsidR="007600EB" w:rsidRPr="006317C9" w:rsidRDefault="007600EB" w:rsidP="006317C9">
            <w:pPr>
              <w:pStyle w:val="Heading8"/>
              <w:spacing w:before="10" w:after="10"/>
              <w:rPr>
                <w:sz w:val="16"/>
                <w:szCs w:val="16"/>
              </w:rPr>
            </w:pPr>
          </w:p>
        </w:tc>
        <w:tc>
          <w:tcPr>
            <w:tcW w:w="5230" w:type="dxa"/>
            <w:gridSpan w:val="4"/>
            <w:vAlign w:val="center"/>
          </w:tcPr>
          <w:p w:rsidR="007600EB" w:rsidRPr="006317C9" w:rsidRDefault="007600EB" w:rsidP="006317C9">
            <w:pPr>
              <w:pStyle w:val="Heading8"/>
              <w:spacing w:before="10" w:after="10"/>
              <w:rPr>
                <w:sz w:val="16"/>
                <w:szCs w:val="16"/>
                <w:rtl/>
              </w:rPr>
            </w:pPr>
            <w:r w:rsidRPr="006317C9">
              <w:rPr>
                <w:sz w:val="16"/>
                <w:szCs w:val="16"/>
              </w:rPr>
              <w:t>Intellectual Skills</w:t>
            </w:r>
          </w:p>
        </w:tc>
        <w:tc>
          <w:tcPr>
            <w:tcW w:w="1448" w:type="dxa"/>
            <w:vMerge w:val="restart"/>
            <w:vAlign w:val="center"/>
          </w:tcPr>
          <w:p w:rsidR="007600EB" w:rsidRPr="006317C9" w:rsidRDefault="007600EB" w:rsidP="006317C9">
            <w:pPr>
              <w:pStyle w:val="Heading8"/>
              <w:spacing w:before="10" w:after="10"/>
              <w:rPr>
                <w:sz w:val="16"/>
                <w:szCs w:val="16"/>
              </w:rPr>
            </w:pPr>
            <w:r w:rsidRPr="006317C9">
              <w:rPr>
                <w:sz w:val="16"/>
                <w:szCs w:val="16"/>
              </w:rPr>
              <w:t>Verbal Information</w:t>
            </w:r>
          </w:p>
        </w:tc>
      </w:tr>
      <w:tr w:rsidR="007600EB" w:rsidRPr="0023235F" w:rsidTr="007600EB">
        <w:tc>
          <w:tcPr>
            <w:tcW w:w="749" w:type="dxa"/>
            <w:vMerge/>
          </w:tcPr>
          <w:p w:rsidR="007600EB" w:rsidRPr="006317C9" w:rsidRDefault="007600EB" w:rsidP="006317C9">
            <w:pPr>
              <w:pStyle w:val="Heading8"/>
              <w:spacing w:before="10" w:after="10"/>
              <w:rPr>
                <w:sz w:val="16"/>
                <w:szCs w:val="16"/>
              </w:rPr>
            </w:pPr>
          </w:p>
        </w:tc>
        <w:tc>
          <w:tcPr>
            <w:tcW w:w="1429" w:type="dxa"/>
            <w:vAlign w:val="center"/>
          </w:tcPr>
          <w:p w:rsidR="007600EB" w:rsidRPr="006317C9" w:rsidRDefault="007600EB" w:rsidP="006317C9">
            <w:pPr>
              <w:pStyle w:val="Heading8"/>
              <w:spacing w:before="10" w:after="10"/>
              <w:rPr>
                <w:sz w:val="16"/>
                <w:szCs w:val="16"/>
              </w:rPr>
            </w:pPr>
          </w:p>
        </w:tc>
        <w:tc>
          <w:tcPr>
            <w:tcW w:w="1622" w:type="dxa"/>
            <w:vAlign w:val="center"/>
          </w:tcPr>
          <w:p w:rsidR="007600EB" w:rsidRPr="006317C9" w:rsidRDefault="007600EB" w:rsidP="006317C9">
            <w:pPr>
              <w:pStyle w:val="Heading8"/>
              <w:spacing w:before="10" w:after="10"/>
              <w:rPr>
                <w:sz w:val="16"/>
                <w:szCs w:val="16"/>
              </w:rPr>
            </w:pPr>
            <w:r w:rsidRPr="006317C9">
              <w:rPr>
                <w:sz w:val="16"/>
                <w:szCs w:val="16"/>
              </w:rPr>
              <w:t>Discriminations</w:t>
            </w:r>
          </w:p>
        </w:tc>
        <w:tc>
          <w:tcPr>
            <w:tcW w:w="1078" w:type="dxa"/>
            <w:vAlign w:val="center"/>
          </w:tcPr>
          <w:p w:rsidR="007600EB" w:rsidRPr="006317C9" w:rsidRDefault="007600EB" w:rsidP="006317C9">
            <w:pPr>
              <w:pStyle w:val="Heading8"/>
              <w:spacing w:before="10" w:after="10"/>
              <w:rPr>
                <w:sz w:val="16"/>
                <w:szCs w:val="16"/>
              </w:rPr>
            </w:pPr>
            <w:r w:rsidRPr="006317C9">
              <w:rPr>
                <w:sz w:val="16"/>
                <w:szCs w:val="16"/>
              </w:rPr>
              <w:t>Concepts</w:t>
            </w:r>
          </w:p>
        </w:tc>
        <w:tc>
          <w:tcPr>
            <w:tcW w:w="1080" w:type="dxa"/>
            <w:vAlign w:val="center"/>
          </w:tcPr>
          <w:p w:rsidR="007600EB" w:rsidRPr="006317C9" w:rsidRDefault="007600EB" w:rsidP="006317C9">
            <w:pPr>
              <w:pStyle w:val="Heading8"/>
              <w:spacing w:before="10" w:after="10"/>
              <w:rPr>
                <w:sz w:val="16"/>
                <w:szCs w:val="16"/>
              </w:rPr>
            </w:pPr>
            <w:r w:rsidRPr="006317C9">
              <w:rPr>
                <w:sz w:val="16"/>
                <w:szCs w:val="16"/>
              </w:rPr>
              <w:t>Rules</w:t>
            </w:r>
          </w:p>
        </w:tc>
        <w:tc>
          <w:tcPr>
            <w:tcW w:w="1450" w:type="dxa"/>
            <w:vAlign w:val="center"/>
          </w:tcPr>
          <w:p w:rsidR="007600EB" w:rsidRPr="006317C9" w:rsidRDefault="007600EB" w:rsidP="006317C9">
            <w:pPr>
              <w:pStyle w:val="Heading8"/>
              <w:spacing w:before="10" w:after="10"/>
              <w:rPr>
                <w:sz w:val="16"/>
                <w:szCs w:val="16"/>
              </w:rPr>
            </w:pPr>
            <w:r w:rsidRPr="006317C9">
              <w:rPr>
                <w:sz w:val="16"/>
                <w:szCs w:val="16"/>
              </w:rPr>
              <w:t xml:space="preserve">Higher Order </w:t>
            </w:r>
            <w:r w:rsidR="005765DD" w:rsidRPr="006317C9">
              <w:rPr>
                <w:sz w:val="16"/>
                <w:szCs w:val="16"/>
              </w:rPr>
              <w:t>r</w:t>
            </w:r>
            <w:r w:rsidRPr="006317C9">
              <w:rPr>
                <w:sz w:val="16"/>
                <w:szCs w:val="16"/>
              </w:rPr>
              <w:t>ules</w:t>
            </w:r>
          </w:p>
        </w:tc>
        <w:tc>
          <w:tcPr>
            <w:tcW w:w="1448" w:type="dxa"/>
            <w:vMerge/>
          </w:tcPr>
          <w:p w:rsidR="007600EB" w:rsidRPr="006317C9" w:rsidRDefault="007600EB" w:rsidP="006317C9">
            <w:pPr>
              <w:pStyle w:val="Heading8"/>
              <w:spacing w:before="10" w:after="10"/>
              <w:rPr>
                <w:sz w:val="16"/>
                <w:szCs w:val="16"/>
              </w:rPr>
            </w:pPr>
          </w:p>
        </w:tc>
      </w:tr>
      <w:tr w:rsidR="007600EB" w:rsidRPr="0023235F" w:rsidTr="007600EB">
        <w:tc>
          <w:tcPr>
            <w:tcW w:w="2178" w:type="dxa"/>
            <w:gridSpan w:val="2"/>
          </w:tcPr>
          <w:p w:rsidR="007600EB" w:rsidRPr="006317C9" w:rsidRDefault="007600EB" w:rsidP="006317C9">
            <w:pPr>
              <w:pStyle w:val="Heading8"/>
              <w:spacing w:before="10" w:after="10"/>
              <w:rPr>
                <w:sz w:val="16"/>
                <w:szCs w:val="16"/>
              </w:rPr>
            </w:pPr>
          </w:p>
        </w:tc>
        <w:tc>
          <w:tcPr>
            <w:tcW w:w="6678" w:type="dxa"/>
            <w:gridSpan w:val="5"/>
          </w:tcPr>
          <w:p w:rsidR="007600EB" w:rsidRPr="006317C9" w:rsidRDefault="007600EB" w:rsidP="006317C9">
            <w:pPr>
              <w:pStyle w:val="Heading8"/>
              <w:spacing w:before="10" w:after="10"/>
              <w:rPr>
                <w:sz w:val="16"/>
                <w:szCs w:val="16"/>
                <w:rtl/>
                <w:lang w:bidi="ar-JO"/>
              </w:rPr>
            </w:pPr>
            <w:r w:rsidRPr="006317C9">
              <w:rPr>
                <w:sz w:val="16"/>
                <w:szCs w:val="16"/>
              </w:rPr>
              <w:t>Planned Emergency</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tl/>
              </w:rPr>
            </w:pPr>
            <w:r w:rsidRPr="006317C9">
              <w:rPr>
                <w:rFonts w:ascii="Arial" w:hAnsi="Arial" w:cs="Arial"/>
                <w:sz w:val="16"/>
                <w:szCs w:val="16"/>
              </w:rPr>
              <w:t>1</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3</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lang w:bidi="ar-JO"/>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4</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5</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6</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7</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8</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tl/>
              </w:rPr>
            </w:pPr>
            <w:r w:rsidRPr="006317C9">
              <w:rPr>
                <w:rFonts w:ascii="Arial" w:hAnsi="Arial" w:cs="Arial"/>
                <w:sz w:val="16"/>
                <w:szCs w:val="16"/>
              </w:rPr>
              <w:t>9</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C95597">
        <w:trPr>
          <w:trHeight w:val="179"/>
        </w:trPr>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10</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11</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12</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13</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14</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lang w:bidi="ar-JO"/>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lang w:bidi="ar-JO"/>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15</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16</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17</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lang w:bidi="ar-JO"/>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18</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19</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20</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2178" w:type="dxa"/>
            <w:gridSpan w:val="2"/>
          </w:tcPr>
          <w:p w:rsidR="007600EB" w:rsidRPr="006317C9" w:rsidRDefault="007600EB" w:rsidP="006317C9">
            <w:pPr>
              <w:spacing w:before="10" w:after="10"/>
              <w:jc w:val="center"/>
              <w:rPr>
                <w:rFonts w:ascii="Arial" w:hAnsi="Arial" w:cs="Arial"/>
                <w:b/>
                <w:sz w:val="16"/>
                <w:szCs w:val="16"/>
              </w:rPr>
            </w:pPr>
          </w:p>
        </w:tc>
        <w:tc>
          <w:tcPr>
            <w:tcW w:w="6678" w:type="dxa"/>
            <w:gridSpan w:val="5"/>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Fire Fighting</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21</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22</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23</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24</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25</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26</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27</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28</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tl/>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29</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tl/>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30</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rFonts w:ascii="Arial" w:hAnsi="Arial" w:cs="Arial"/>
                <w:sz w:val="16"/>
                <w:szCs w:val="16"/>
              </w:rPr>
            </w:pPr>
            <w:r w:rsidRPr="006317C9">
              <w:rPr>
                <w:rFonts w:ascii="Arial" w:hAnsi="Arial" w:cs="Arial"/>
                <w:sz w:val="16"/>
                <w:szCs w:val="16"/>
              </w:rPr>
              <w:t>31</w:t>
            </w:r>
          </w:p>
        </w:tc>
        <w:tc>
          <w:tcPr>
            <w:tcW w:w="1429" w:type="dxa"/>
          </w:tcPr>
          <w:p w:rsidR="007600EB" w:rsidRPr="006317C9" w:rsidRDefault="007600EB" w:rsidP="006317C9">
            <w:pPr>
              <w:spacing w:before="10" w:after="10"/>
              <w:jc w:val="center"/>
              <w:rPr>
                <w:rFonts w:ascii="Arial" w:hAnsi="Arial" w:cs="Arial"/>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32</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33</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tl/>
                <w:lang w:bidi="ar-JO"/>
              </w:rPr>
            </w:pPr>
            <w:r w:rsidRPr="006317C9">
              <w:rPr>
                <w:sz w:val="16"/>
                <w:szCs w:val="16"/>
              </w:rPr>
              <w:t>34</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tl/>
              </w:rPr>
            </w:pPr>
            <w:r w:rsidRPr="006317C9">
              <w:rPr>
                <w:sz w:val="16"/>
                <w:szCs w:val="16"/>
              </w:rPr>
              <w:t>35</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2178" w:type="dxa"/>
            <w:gridSpan w:val="2"/>
          </w:tcPr>
          <w:p w:rsidR="007600EB" w:rsidRPr="006317C9" w:rsidRDefault="007600EB" w:rsidP="006317C9">
            <w:pPr>
              <w:spacing w:before="10" w:after="10"/>
              <w:jc w:val="center"/>
              <w:rPr>
                <w:b/>
                <w:sz w:val="16"/>
                <w:szCs w:val="16"/>
              </w:rPr>
            </w:pPr>
          </w:p>
        </w:tc>
        <w:tc>
          <w:tcPr>
            <w:tcW w:w="6678" w:type="dxa"/>
            <w:gridSpan w:val="5"/>
          </w:tcPr>
          <w:p w:rsidR="007600EB" w:rsidRPr="006317C9" w:rsidRDefault="007600EB" w:rsidP="006317C9">
            <w:pPr>
              <w:spacing w:before="10" w:after="10"/>
              <w:jc w:val="center"/>
              <w:rPr>
                <w:rFonts w:ascii="Arial" w:hAnsi="Arial" w:cs="Arial"/>
                <w:b/>
                <w:sz w:val="16"/>
                <w:szCs w:val="16"/>
                <w:lang w:bidi="ar-JO"/>
              </w:rPr>
            </w:pPr>
            <w:r w:rsidRPr="006317C9">
              <w:rPr>
                <w:rFonts w:ascii="Arial" w:hAnsi="Arial" w:cs="Arial"/>
                <w:b/>
                <w:sz w:val="16"/>
                <w:szCs w:val="16"/>
              </w:rPr>
              <w:t>First Aid</w:t>
            </w:r>
          </w:p>
        </w:tc>
      </w:tr>
      <w:tr w:rsidR="007600EB" w:rsidRPr="0023235F" w:rsidTr="007600EB">
        <w:tc>
          <w:tcPr>
            <w:tcW w:w="749" w:type="dxa"/>
          </w:tcPr>
          <w:p w:rsidR="007600EB" w:rsidRPr="006317C9" w:rsidRDefault="007600EB" w:rsidP="006317C9">
            <w:pPr>
              <w:spacing w:before="10" w:after="10"/>
              <w:jc w:val="center"/>
              <w:rPr>
                <w:sz w:val="16"/>
                <w:szCs w:val="16"/>
                <w:rtl/>
                <w:lang w:bidi="ar-JO"/>
              </w:rPr>
            </w:pPr>
            <w:r w:rsidRPr="006317C9">
              <w:rPr>
                <w:sz w:val="16"/>
                <w:szCs w:val="16"/>
              </w:rPr>
              <w:t>36</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37</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lang w:bidi="ar-JO"/>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38</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39</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40</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41</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lang w:bidi="ar-JO"/>
              </w:rPr>
            </w:pPr>
          </w:p>
        </w:tc>
        <w:tc>
          <w:tcPr>
            <w:tcW w:w="1080" w:type="dxa"/>
          </w:tcPr>
          <w:p w:rsidR="007600EB" w:rsidRPr="006317C9" w:rsidRDefault="007600EB" w:rsidP="006317C9">
            <w:pPr>
              <w:spacing w:before="10" w:after="10"/>
              <w:jc w:val="center"/>
              <w:rPr>
                <w:rFonts w:ascii="Arial" w:hAnsi="Arial" w:cs="Arial"/>
                <w:b/>
                <w:sz w:val="16"/>
                <w:szCs w:val="16"/>
                <w:lang w:bidi="ar-JO"/>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42</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tl/>
                <w:lang w:bidi="ar-JO"/>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43</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r>
      <w:tr w:rsidR="007600EB" w:rsidRPr="0023235F" w:rsidTr="007600EB">
        <w:tc>
          <w:tcPr>
            <w:tcW w:w="749" w:type="dxa"/>
          </w:tcPr>
          <w:p w:rsidR="007600EB" w:rsidRPr="006317C9" w:rsidRDefault="007600EB" w:rsidP="006317C9">
            <w:pPr>
              <w:spacing w:before="10" w:after="10"/>
              <w:jc w:val="center"/>
              <w:rPr>
                <w:sz w:val="16"/>
                <w:szCs w:val="16"/>
                <w:rtl/>
              </w:rPr>
            </w:pPr>
            <w:r w:rsidRPr="006317C9">
              <w:rPr>
                <w:sz w:val="16"/>
                <w:szCs w:val="16"/>
              </w:rPr>
              <w:t>44</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tl/>
              </w:rPr>
            </w:pPr>
            <w:r w:rsidRPr="006317C9">
              <w:rPr>
                <w:sz w:val="16"/>
                <w:szCs w:val="16"/>
              </w:rPr>
              <w:t>45</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46</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47</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tl/>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tl/>
                <w:lang w:bidi="ar-JO"/>
              </w:rPr>
            </w:pPr>
            <w:r w:rsidRPr="006317C9">
              <w:rPr>
                <w:sz w:val="16"/>
                <w:szCs w:val="16"/>
              </w:rPr>
              <w:t>48</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49</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Pr>
            </w:pPr>
            <w:r w:rsidRPr="006317C9">
              <w:rPr>
                <w:sz w:val="16"/>
                <w:szCs w:val="16"/>
              </w:rPr>
              <w:t>50</w:t>
            </w:r>
          </w:p>
        </w:tc>
        <w:tc>
          <w:tcPr>
            <w:tcW w:w="1429" w:type="dxa"/>
          </w:tcPr>
          <w:p w:rsidR="007600EB" w:rsidRPr="006317C9" w:rsidRDefault="007600EB" w:rsidP="006317C9">
            <w:pPr>
              <w:spacing w:before="10" w:after="10"/>
              <w:jc w:val="center"/>
              <w:rPr>
                <w:b/>
                <w:sz w:val="16"/>
                <w:szCs w:val="16"/>
                <w:lang w:bidi="ar-JO"/>
              </w:rPr>
            </w:pPr>
          </w:p>
        </w:tc>
        <w:tc>
          <w:tcPr>
            <w:tcW w:w="1622" w:type="dxa"/>
          </w:tcPr>
          <w:p w:rsidR="007600EB" w:rsidRPr="006317C9" w:rsidRDefault="007600EB" w:rsidP="006317C9">
            <w:pPr>
              <w:spacing w:before="10" w:after="10"/>
              <w:jc w:val="center"/>
              <w:rPr>
                <w:rFonts w:ascii="Arial" w:hAnsi="Arial" w:cs="Arial"/>
                <w:b/>
                <w:sz w:val="16"/>
                <w:szCs w:val="16"/>
                <w:lang w:bidi="ar-JO"/>
              </w:rPr>
            </w:pPr>
          </w:p>
        </w:tc>
        <w:tc>
          <w:tcPr>
            <w:tcW w:w="1078" w:type="dxa"/>
          </w:tcPr>
          <w:p w:rsidR="007600EB" w:rsidRPr="006317C9" w:rsidRDefault="007600EB" w:rsidP="006317C9">
            <w:pPr>
              <w:spacing w:before="10" w:after="10"/>
              <w:jc w:val="center"/>
              <w:rPr>
                <w:rFonts w:ascii="Arial" w:hAnsi="Arial" w:cs="Arial"/>
                <w:b/>
                <w:sz w:val="16"/>
                <w:szCs w:val="16"/>
              </w:rPr>
            </w:pPr>
          </w:p>
        </w:tc>
        <w:tc>
          <w:tcPr>
            <w:tcW w:w="1080" w:type="dxa"/>
          </w:tcPr>
          <w:p w:rsidR="007600EB" w:rsidRPr="006317C9" w:rsidRDefault="007600EB" w:rsidP="006317C9">
            <w:pPr>
              <w:spacing w:before="10" w:after="10"/>
              <w:jc w:val="center"/>
              <w:rPr>
                <w:rFonts w:ascii="Arial" w:hAnsi="Arial" w:cs="Arial"/>
                <w:b/>
                <w:sz w:val="16"/>
                <w:szCs w:val="16"/>
              </w:rPr>
            </w:pP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X</w:t>
            </w:r>
          </w:p>
        </w:tc>
        <w:tc>
          <w:tcPr>
            <w:tcW w:w="1448" w:type="dxa"/>
          </w:tcPr>
          <w:p w:rsidR="007600EB" w:rsidRPr="006317C9" w:rsidRDefault="007600EB" w:rsidP="006317C9">
            <w:pPr>
              <w:spacing w:before="10" w:after="10"/>
              <w:jc w:val="center"/>
              <w:rPr>
                <w:b/>
                <w:sz w:val="16"/>
                <w:szCs w:val="16"/>
              </w:rPr>
            </w:pPr>
          </w:p>
        </w:tc>
      </w:tr>
      <w:tr w:rsidR="007600EB" w:rsidRPr="0023235F" w:rsidTr="007600EB">
        <w:tc>
          <w:tcPr>
            <w:tcW w:w="749" w:type="dxa"/>
          </w:tcPr>
          <w:p w:rsidR="007600EB" w:rsidRPr="006317C9" w:rsidRDefault="007600EB" w:rsidP="006317C9">
            <w:pPr>
              <w:spacing w:before="10" w:after="10"/>
              <w:jc w:val="center"/>
              <w:rPr>
                <w:sz w:val="16"/>
                <w:szCs w:val="16"/>
                <w:rtl/>
                <w:lang w:bidi="ar-JO"/>
              </w:rPr>
            </w:pPr>
            <w:r w:rsidRPr="006317C9">
              <w:rPr>
                <w:sz w:val="16"/>
                <w:szCs w:val="16"/>
              </w:rPr>
              <w:t>Total</w:t>
            </w:r>
          </w:p>
        </w:tc>
        <w:tc>
          <w:tcPr>
            <w:tcW w:w="1429" w:type="dxa"/>
          </w:tcPr>
          <w:p w:rsidR="007600EB" w:rsidRPr="006317C9" w:rsidRDefault="007600EB" w:rsidP="006317C9">
            <w:pPr>
              <w:spacing w:before="10" w:after="10"/>
              <w:jc w:val="center"/>
              <w:rPr>
                <w:b/>
                <w:sz w:val="16"/>
                <w:szCs w:val="16"/>
              </w:rPr>
            </w:pPr>
          </w:p>
        </w:tc>
        <w:tc>
          <w:tcPr>
            <w:tcW w:w="1622" w:type="dxa"/>
          </w:tcPr>
          <w:p w:rsidR="007600EB" w:rsidRPr="006317C9" w:rsidRDefault="007600EB" w:rsidP="006317C9">
            <w:pPr>
              <w:spacing w:before="10" w:after="10"/>
              <w:jc w:val="center"/>
              <w:rPr>
                <w:rFonts w:ascii="Arial" w:hAnsi="Arial" w:cs="Arial"/>
                <w:b/>
                <w:sz w:val="16"/>
                <w:szCs w:val="16"/>
                <w:lang w:bidi="ar-JO"/>
              </w:rPr>
            </w:pPr>
            <w:r w:rsidRPr="006317C9">
              <w:rPr>
                <w:rFonts w:ascii="Arial" w:hAnsi="Arial" w:cs="Arial"/>
                <w:b/>
                <w:sz w:val="16"/>
                <w:szCs w:val="16"/>
              </w:rPr>
              <w:t>12</w:t>
            </w:r>
          </w:p>
        </w:tc>
        <w:tc>
          <w:tcPr>
            <w:tcW w:w="107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5</w:t>
            </w:r>
          </w:p>
        </w:tc>
        <w:tc>
          <w:tcPr>
            <w:tcW w:w="1080" w:type="dxa"/>
          </w:tcPr>
          <w:p w:rsidR="007600EB" w:rsidRPr="006317C9" w:rsidRDefault="007600EB" w:rsidP="006317C9">
            <w:pPr>
              <w:spacing w:before="10" w:after="10"/>
              <w:jc w:val="center"/>
              <w:rPr>
                <w:rFonts w:ascii="Arial" w:hAnsi="Arial" w:cs="Arial"/>
                <w:b/>
                <w:sz w:val="16"/>
                <w:szCs w:val="16"/>
                <w:rtl/>
              </w:rPr>
            </w:pPr>
            <w:r w:rsidRPr="006317C9">
              <w:rPr>
                <w:rFonts w:ascii="Arial" w:hAnsi="Arial" w:cs="Arial"/>
                <w:b/>
                <w:sz w:val="16"/>
                <w:szCs w:val="16"/>
              </w:rPr>
              <w:t>10</w:t>
            </w:r>
          </w:p>
        </w:tc>
        <w:tc>
          <w:tcPr>
            <w:tcW w:w="1450"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14</w:t>
            </w:r>
          </w:p>
        </w:tc>
        <w:tc>
          <w:tcPr>
            <w:tcW w:w="1448" w:type="dxa"/>
          </w:tcPr>
          <w:p w:rsidR="007600EB" w:rsidRPr="006317C9" w:rsidRDefault="007600EB" w:rsidP="006317C9">
            <w:pPr>
              <w:spacing w:before="10" w:after="10"/>
              <w:jc w:val="center"/>
              <w:rPr>
                <w:rFonts w:ascii="Arial" w:hAnsi="Arial" w:cs="Arial"/>
                <w:b/>
                <w:sz w:val="16"/>
                <w:szCs w:val="16"/>
              </w:rPr>
            </w:pPr>
            <w:r w:rsidRPr="006317C9">
              <w:rPr>
                <w:rFonts w:ascii="Arial" w:hAnsi="Arial" w:cs="Arial"/>
                <w:b/>
                <w:sz w:val="16"/>
                <w:szCs w:val="16"/>
              </w:rPr>
              <w:t>9</w:t>
            </w:r>
          </w:p>
        </w:tc>
      </w:tr>
    </w:tbl>
    <w:p w:rsidR="007600EB" w:rsidRPr="0054640B" w:rsidRDefault="007600EB" w:rsidP="00FB2F59">
      <w:pPr>
        <w:spacing w:after="60"/>
        <w:rPr>
          <w:rFonts w:ascii="Arial" w:hAnsi="Arial" w:cs="Arial"/>
          <w:b/>
          <w:bCs/>
          <w:sz w:val="20"/>
        </w:rPr>
      </w:pPr>
      <w:r w:rsidRPr="0054640B">
        <w:rPr>
          <w:rFonts w:ascii="Arial" w:hAnsi="Arial" w:cs="Arial"/>
          <w:b/>
          <w:bCs/>
          <w:sz w:val="20"/>
        </w:rPr>
        <w:lastRenderedPageBreak/>
        <w:t>Features of the Systematic Interactive Multimedia Instruction (SIMI)</w:t>
      </w:r>
    </w:p>
    <w:p w:rsidR="007600EB" w:rsidRPr="0054640B" w:rsidRDefault="007600EB" w:rsidP="00FB2F59">
      <w:pPr>
        <w:pStyle w:val="Heading4"/>
        <w:spacing w:before="60"/>
      </w:pPr>
      <w:r w:rsidRPr="0054640B">
        <w:t>Access</w:t>
      </w:r>
    </w:p>
    <w:p w:rsidR="007600EB" w:rsidRDefault="007600EB" w:rsidP="00FB2F59">
      <w:pPr>
        <w:spacing w:after="60"/>
        <w:rPr>
          <w:sz w:val="20"/>
          <w:rtl/>
          <w:lang w:bidi="ar-JO"/>
        </w:rPr>
      </w:pPr>
      <w:r w:rsidRPr="0054640B">
        <w:rPr>
          <w:sz w:val="20"/>
        </w:rPr>
        <w:t>After clicking on the Flash icon on the Desktop, the flight attendant must enter his name and ID number to access the program as presented in Plate 1.</w:t>
      </w:r>
    </w:p>
    <w:p w:rsidR="007600EB" w:rsidRPr="00BB3D8F" w:rsidRDefault="007600EB" w:rsidP="00FB2F59">
      <w:pPr>
        <w:spacing w:after="60"/>
        <w:jc w:val="center"/>
      </w:pPr>
      <w:r w:rsidRPr="00FD7D07">
        <w:rPr>
          <w:noProof/>
        </w:rPr>
        <w:drawing>
          <wp:inline distT="0" distB="0" distL="0" distR="0" wp14:anchorId="507D6A5C" wp14:editId="76663691">
            <wp:extent cx="2874010" cy="1981200"/>
            <wp:effectExtent l="0" t="0" r="2540" b="0"/>
            <wp:docPr id="19" name="Picture 19"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 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010" cy="1981200"/>
                    </a:xfrm>
                    <a:prstGeom prst="rect">
                      <a:avLst/>
                    </a:prstGeom>
                    <a:noFill/>
                    <a:ln>
                      <a:noFill/>
                    </a:ln>
                  </pic:spPr>
                </pic:pic>
              </a:graphicData>
            </a:graphic>
          </wp:inline>
        </w:drawing>
      </w:r>
    </w:p>
    <w:p w:rsidR="007600EB" w:rsidRPr="00FB2F59" w:rsidRDefault="007600EB" w:rsidP="00FB2F59">
      <w:pPr>
        <w:pStyle w:val="Heading5"/>
        <w:spacing w:before="60" w:after="0"/>
        <w:rPr>
          <w:sz w:val="18"/>
          <w:szCs w:val="18"/>
        </w:rPr>
      </w:pPr>
      <w:r w:rsidRPr="00FB2F59">
        <w:rPr>
          <w:sz w:val="18"/>
          <w:szCs w:val="18"/>
        </w:rPr>
        <w:t>Plate 1: Log in Page</w:t>
      </w:r>
    </w:p>
    <w:p w:rsidR="007600EB" w:rsidRPr="00F60484" w:rsidRDefault="007600EB" w:rsidP="00FB2F59">
      <w:pPr>
        <w:pStyle w:val="Heading4"/>
        <w:spacing w:before="60"/>
      </w:pPr>
      <w:r w:rsidRPr="00F60484">
        <w:t>Interface</w:t>
      </w:r>
    </w:p>
    <w:p w:rsidR="007600EB" w:rsidRDefault="007600EB" w:rsidP="00FB2F59">
      <w:pPr>
        <w:spacing w:after="60"/>
        <w:rPr>
          <w:sz w:val="20"/>
        </w:rPr>
      </w:pPr>
      <w:r w:rsidRPr="0054640B">
        <w:rPr>
          <w:sz w:val="20"/>
        </w:rPr>
        <w:t>When the flight attendant starts the program, the Home page of the SIMI will appear with introductory demonstration as in Plate 2. During the introductory demonstration, flight attendant can skip to the introduction.</w:t>
      </w:r>
    </w:p>
    <w:p w:rsidR="007600EB" w:rsidRPr="00BB3D8F" w:rsidRDefault="007600EB" w:rsidP="00FB2F59">
      <w:pPr>
        <w:spacing w:after="60"/>
        <w:jc w:val="center"/>
      </w:pPr>
      <w:r w:rsidRPr="00FD7D07">
        <w:rPr>
          <w:noProof/>
        </w:rPr>
        <w:drawing>
          <wp:inline distT="0" distB="0" distL="0" distR="0" wp14:anchorId="4A484F23" wp14:editId="5310D24C">
            <wp:extent cx="2879090" cy="2025015"/>
            <wp:effectExtent l="0" t="0" r="0" b="0"/>
            <wp:docPr id="18" name="Picture 18" descr="1 at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atten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090" cy="2025015"/>
                    </a:xfrm>
                    <a:prstGeom prst="rect">
                      <a:avLst/>
                    </a:prstGeom>
                    <a:noFill/>
                    <a:ln>
                      <a:noFill/>
                    </a:ln>
                  </pic:spPr>
                </pic:pic>
              </a:graphicData>
            </a:graphic>
          </wp:inline>
        </w:drawing>
      </w:r>
    </w:p>
    <w:p w:rsidR="007600EB" w:rsidRPr="00FB2F59" w:rsidRDefault="007600EB" w:rsidP="00FB2F59">
      <w:pPr>
        <w:pStyle w:val="Heading5"/>
        <w:spacing w:before="60" w:after="60"/>
        <w:rPr>
          <w:sz w:val="18"/>
          <w:szCs w:val="18"/>
        </w:rPr>
      </w:pPr>
      <w:r w:rsidRPr="00FB2F59">
        <w:rPr>
          <w:sz w:val="18"/>
          <w:szCs w:val="18"/>
        </w:rPr>
        <w:t>Plate 2: Home Page</w:t>
      </w:r>
    </w:p>
    <w:p w:rsidR="007600EB" w:rsidRDefault="007600EB" w:rsidP="00FB2F59">
      <w:pPr>
        <w:spacing w:after="60"/>
        <w:rPr>
          <w:sz w:val="20"/>
        </w:rPr>
      </w:pPr>
      <w:r w:rsidRPr="0054640B">
        <w:rPr>
          <w:sz w:val="20"/>
        </w:rPr>
        <w:t>After the home page, the introdu</w:t>
      </w:r>
      <w:r>
        <w:rPr>
          <w:sz w:val="20"/>
        </w:rPr>
        <w:t>ction will appear as in Plate 3</w:t>
      </w:r>
      <w:r w:rsidR="00C95597">
        <w:rPr>
          <w:sz w:val="20"/>
        </w:rPr>
        <w:t>.</w:t>
      </w:r>
    </w:p>
    <w:p w:rsidR="007600EB" w:rsidRPr="00BB3D8F" w:rsidRDefault="007600EB" w:rsidP="007600EB">
      <w:pPr>
        <w:jc w:val="center"/>
      </w:pPr>
      <w:r w:rsidRPr="00FD7D07">
        <w:rPr>
          <w:noProof/>
        </w:rPr>
        <w:drawing>
          <wp:inline distT="0" distB="0" distL="0" distR="0" wp14:anchorId="47608C9E" wp14:editId="5DFF6F86">
            <wp:extent cx="2879090" cy="2057400"/>
            <wp:effectExtent l="0" t="0" r="0" b="0"/>
            <wp:docPr id="17" name="Picture 17"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rodu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090" cy="2057400"/>
                    </a:xfrm>
                    <a:prstGeom prst="rect">
                      <a:avLst/>
                    </a:prstGeom>
                    <a:noFill/>
                    <a:ln>
                      <a:noFill/>
                    </a:ln>
                  </pic:spPr>
                </pic:pic>
              </a:graphicData>
            </a:graphic>
          </wp:inline>
        </w:drawing>
      </w:r>
    </w:p>
    <w:p w:rsidR="00282C4B" w:rsidRPr="00FB2F59" w:rsidRDefault="007600EB" w:rsidP="00FB2F59">
      <w:pPr>
        <w:pStyle w:val="Heading5"/>
        <w:spacing w:after="0"/>
        <w:rPr>
          <w:b w:val="0"/>
          <w:sz w:val="18"/>
          <w:szCs w:val="18"/>
        </w:rPr>
      </w:pPr>
      <w:r w:rsidRPr="00FB2F59">
        <w:rPr>
          <w:sz w:val="18"/>
          <w:szCs w:val="18"/>
        </w:rPr>
        <w:t>Plate 3: Introduction</w:t>
      </w:r>
      <w:r w:rsidR="00282C4B" w:rsidRPr="00FB2F59">
        <w:rPr>
          <w:sz w:val="18"/>
          <w:szCs w:val="18"/>
        </w:rPr>
        <w:br w:type="page"/>
      </w:r>
    </w:p>
    <w:p w:rsidR="007600EB" w:rsidRDefault="007600EB" w:rsidP="007600EB">
      <w:pPr>
        <w:rPr>
          <w:sz w:val="20"/>
        </w:rPr>
      </w:pPr>
      <w:r w:rsidRPr="00C53043">
        <w:rPr>
          <w:sz w:val="20"/>
        </w:rPr>
        <w:lastRenderedPageBreak/>
        <w:t>After the introduction comes the general goal of the program as in plate 4</w:t>
      </w:r>
      <w:r w:rsidR="00C95597">
        <w:rPr>
          <w:sz w:val="20"/>
        </w:rPr>
        <w:t>.</w:t>
      </w:r>
    </w:p>
    <w:p w:rsidR="007600EB" w:rsidRPr="00BB3D8F" w:rsidRDefault="007600EB" w:rsidP="007600EB">
      <w:pPr>
        <w:jc w:val="center"/>
      </w:pPr>
      <w:r w:rsidRPr="00FD7D07">
        <w:rPr>
          <w:noProof/>
        </w:rPr>
        <w:drawing>
          <wp:inline distT="0" distB="0" distL="0" distR="0" wp14:anchorId="2B6657A0" wp14:editId="103C56D7">
            <wp:extent cx="2879090" cy="2051685"/>
            <wp:effectExtent l="0" t="0" r="0" b="5715"/>
            <wp:docPr id="16" name="Picture 16"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cti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090" cy="2051685"/>
                    </a:xfrm>
                    <a:prstGeom prst="rect">
                      <a:avLst/>
                    </a:prstGeom>
                    <a:noFill/>
                    <a:ln>
                      <a:noFill/>
                    </a:ln>
                  </pic:spPr>
                </pic:pic>
              </a:graphicData>
            </a:graphic>
          </wp:inline>
        </w:drawing>
      </w:r>
    </w:p>
    <w:p w:rsidR="007600EB" w:rsidRDefault="007600EB" w:rsidP="00C95597">
      <w:pPr>
        <w:pStyle w:val="Heading5"/>
      </w:pPr>
      <w:r w:rsidRPr="00A65474">
        <w:t>Plate 4: General Goals</w:t>
      </w:r>
    </w:p>
    <w:p w:rsidR="007600EB" w:rsidRDefault="007600EB" w:rsidP="007600EB">
      <w:pPr>
        <w:spacing w:before="40" w:after="40"/>
        <w:rPr>
          <w:sz w:val="20"/>
        </w:rPr>
      </w:pPr>
      <w:r w:rsidRPr="0054640B">
        <w:rPr>
          <w:sz w:val="20"/>
        </w:rPr>
        <w:t>Clicking on any topic in the menu will start a particular lesson that goes through the first seven events of instruction (Gagne, 1992).  The following is an example of one cluster of "Emergency Declaration" in the lesson "Planned Emergency" using the seven events of instruction. According to Gagne's first event of instruction</w:t>
      </w:r>
      <w:r>
        <w:rPr>
          <w:sz w:val="20"/>
        </w:rPr>
        <w:t xml:space="preserve"> is that</w:t>
      </w:r>
      <w:r w:rsidRPr="0054640B">
        <w:rPr>
          <w:sz w:val="20"/>
        </w:rPr>
        <w:t xml:space="preserve"> flight attendants attention should be attracted as in Plate 1.1</w:t>
      </w:r>
      <w:r w:rsidR="00C95597">
        <w:rPr>
          <w:sz w:val="20"/>
        </w:rPr>
        <w:t>.</w:t>
      </w:r>
    </w:p>
    <w:p w:rsidR="007600EB" w:rsidRPr="00BB3D8F" w:rsidRDefault="007600EB" w:rsidP="007600EB">
      <w:pPr>
        <w:spacing w:before="40" w:after="40"/>
        <w:jc w:val="center"/>
      </w:pPr>
      <w:r w:rsidRPr="00FD7D07">
        <w:rPr>
          <w:noProof/>
        </w:rPr>
        <w:drawing>
          <wp:inline distT="0" distB="0" distL="0" distR="0" wp14:anchorId="75DC350B" wp14:editId="1BEBD704">
            <wp:extent cx="2884805" cy="1981200"/>
            <wp:effectExtent l="0" t="0" r="0" b="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805" cy="1981200"/>
                    </a:xfrm>
                    <a:prstGeom prst="rect">
                      <a:avLst/>
                    </a:prstGeom>
                    <a:noFill/>
                    <a:ln>
                      <a:noFill/>
                    </a:ln>
                  </pic:spPr>
                </pic:pic>
              </a:graphicData>
            </a:graphic>
          </wp:inline>
        </w:drawing>
      </w:r>
    </w:p>
    <w:p w:rsidR="007600EB" w:rsidRDefault="007600EB" w:rsidP="00C95597">
      <w:pPr>
        <w:pStyle w:val="Heading5"/>
      </w:pPr>
      <w:r w:rsidRPr="00A65474">
        <w:t xml:space="preserve">Plate 1.1: Attracting </w:t>
      </w:r>
      <w:r w:rsidR="00472F60">
        <w:t>a</w:t>
      </w:r>
      <w:r w:rsidRPr="00A65474">
        <w:t>ttention</w:t>
      </w:r>
    </w:p>
    <w:p w:rsidR="007600EB" w:rsidRDefault="007600EB" w:rsidP="007600EB">
      <w:pPr>
        <w:spacing w:before="40" w:after="40"/>
        <w:rPr>
          <w:sz w:val="20"/>
        </w:rPr>
      </w:pPr>
      <w:r w:rsidRPr="0054640B">
        <w:rPr>
          <w:sz w:val="20"/>
        </w:rPr>
        <w:t>The second event of instruction (Plate 1.2)</w:t>
      </w:r>
      <w:r w:rsidRPr="0054640B">
        <w:rPr>
          <w:sz w:val="20"/>
        </w:rPr>
        <w:tab/>
        <w:t>includes informing the flight attendant of the objective. The objectives in each cluster should refer to both verbal information and intellectual skills.</w:t>
      </w:r>
    </w:p>
    <w:p w:rsidR="007600EB" w:rsidRPr="00BB3D8F" w:rsidRDefault="007600EB" w:rsidP="007600EB">
      <w:pPr>
        <w:spacing w:before="40" w:after="40"/>
        <w:jc w:val="center"/>
      </w:pPr>
      <w:r w:rsidRPr="00FD7D07">
        <w:rPr>
          <w:noProof/>
        </w:rPr>
        <w:drawing>
          <wp:inline distT="0" distB="0" distL="0" distR="0" wp14:anchorId="41A47D35" wp14:editId="5E644267">
            <wp:extent cx="2884805" cy="2002790"/>
            <wp:effectExtent l="0" t="0" r="0" b="0"/>
            <wp:docPr id="14" name="Picture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805" cy="2002790"/>
                    </a:xfrm>
                    <a:prstGeom prst="rect">
                      <a:avLst/>
                    </a:prstGeom>
                    <a:noFill/>
                    <a:ln>
                      <a:noFill/>
                    </a:ln>
                  </pic:spPr>
                </pic:pic>
              </a:graphicData>
            </a:graphic>
          </wp:inline>
        </w:drawing>
      </w:r>
    </w:p>
    <w:p w:rsidR="007600EB" w:rsidRDefault="007600EB" w:rsidP="00C95597">
      <w:pPr>
        <w:pStyle w:val="Heading5"/>
      </w:pPr>
      <w:r w:rsidRPr="00A65474">
        <w:lastRenderedPageBreak/>
        <w:t>Plate 1.2: Objectives</w:t>
      </w:r>
    </w:p>
    <w:p w:rsidR="007600EB" w:rsidRDefault="007600EB" w:rsidP="007600EB">
      <w:pPr>
        <w:spacing w:before="40" w:after="40"/>
        <w:rPr>
          <w:sz w:val="20"/>
        </w:rPr>
      </w:pPr>
      <w:r w:rsidRPr="0054640B">
        <w:rPr>
          <w:sz w:val="20"/>
        </w:rPr>
        <w:t>The third event of instruction (Plate 1.3) includes stimulating recall of prior knowledge. In this example the flight attendants will be informed of the prior knowledge of the cockpit panel, A320 layout and the Area Call Panel (ACP).</w:t>
      </w:r>
    </w:p>
    <w:p w:rsidR="007600EB" w:rsidRPr="00BB3D8F" w:rsidRDefault="007600EB" w:rsidP="007600EB">
      <w:pPr>
        <w:spacing w:before="40" w:after="40"/>
        <w:jc w:val="center"/>
      </w:pPr>
      <w:r w:rsidRPr="00FD7D07">
        <w:rPr>
          <w:noProof/>
        </w:rPr>
        <w:drawing>
          <wp:inline distT="0" distB="0" distL="0" distR="0" wp14:anchorId="475455B0" wp14:editId="09682CD7">
            <wp:extent cx="2884805" cy="1997710"/>
            <wp:effectExtent l="0" t="0" r="0" b="2540"/>
            <wp:docPr id="12" name="Picture 12" descr="prior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or knowled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805" cy="1997710"/>
                    </a:xfrm>
                    <a:prstGeom prst="rect">
                      <a:avLst/>
                    </a:prstGeom>
                    <a:noFill/>
                    <a:ln>
                      <a:noFill/>
                    </a:ln>
                  </pic:spPr>
                </pic:pic>
              </a:graphicData>
            </a:graphic>
          </wp:inline>
        </w:drawing>
      </w:r>
    </w:p>
    <w:p w:rsidR="00C95597" w:rsidRDefault="007600EB" w:rsidP="007600EB">
      <w:pPr>
        <w:spacing w:before="40" w:after="40"/>
        <w:jc w:val="center"/>
        <w:rPr>
          <w:rStyle w:val="Heading5Char"/>
          <w:sz w:val="20"/>
        </w:rPr>
      </w:pPr>
      <w:r w:rsidRPr="00C95597">
        <w:rPr>
          <w:rStyle w:val="Heading5Char"/>
          <w:sz w:val="20"/>
        </w:rPr>
        <w:t xml:space="preserve">Plate 1.3: Prior </w:t>
      </w:r>
      <w:r w:rsidR="00472F60">
        <w:rPr>
          <w:rStyle w:val="Heading5Char"/>
          <w:sz w:val="20"/>
        </w:rPr>
        <w:t>k</w:t>
      </w:r>
      <w:r w:rsidRPr="00C95597">
        <w:rPr>
          <w:rStyle w:val="Heading5Char"/>
          <w:sz w:val="20"/>
        </w:rPr>
        <w:t>nowledge</w:t>
      </w:r>
    </w:p>
    <w:p w:rsidR="00C95597" w:rsidRDefault="007600EB" w:rsidP="007600EB">
      <w:pPr>
        <w:spacing w:before="40" w:after="40"/>
        <w:jc w:val="center"/>
        <w:rPr>
          <w:sz w:val="20"/>
        </w:rPr>
      </w:pPr>
      <w:r w:rsidRPr="0054640B">
        <w:rPr>
          <w:sz w:val="20"/>
        </w:rPr>
        <w:t>The fourth event of instruction is presenting the stimulus or the material. The example in this section refers to "Eme</w:t>
      </w:r>
      <w:r>
        <w:rPr>
          <w:sz w:val="20"/>
        </w:rPr>
        <w:t>rgency Declaration." Plate 1.4</w:t>
      </w:r>
      <w:r w:rsidRPr="0054640B">
        <w:rPr>
          <w:sz w:val="20"/>
        </w:rPr>
        <w:t xml:space="preserve"> gives an example of the one part of the content or the stimulus.</w:t>
      </w:r>
    </w:p>
    <w:p w:rsidR="007600EB" w:rsidRPr="00BB3D8F" w:rsidRDefault="007600EB" w:rsidP="007600EB">
      <w:pPr>
        <w:jc w:val="center"/>
      </w:pPr>
      <w:r w:rsidRPr="00FD7D07">
        <w:rPr>
          <w:noProof/>
        </w:rPr>
        <w:drawing>
          <wp:inline distT="0" distB="0" distL="0" distR="0" wp14:anchorId="7C8CD6CB" wp14:editId="42192DC5">
            <wp:extent cx="2879090" cy="1948815"/>
            <wp:effectExtent l="0" t="0" r="0" b="0"/>
            <wp:docPr id="10" name="Picture 10" descr="stm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mulu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090" cy="1948815"/>
                    </a:xfrm>
                    <a:prstGeom prst="rect">
                      <a:avLst/>
                    </a:prstGeom>
                    <a:noFill/>
                    <a:ln>
                      <a:noFill/>
                    </a:ln>
                  </pic:spPr>
                </pic:pic>
              </a:graphicData>
            </a:graphic>
          </wp:inline>
        </w:drawing>
      </w:r>
    </w:p>
    <w:p w:rsidR="007600EB" w:rsidRDefault="007600EB" w:rsidP="00C95597">
      <w:pPr>
        <w:pStyle w:val="Heading5"/>
      </w:pPr>
      <w:r w:rsidRPr="00BC77D7">
        <w:t xml:space="preserve">Plate 1.4: Presenting the </w:t>
      </w:r>
      <w:r w:rsidR="00472F60">
        <w:t>s</w:t>
      </w:r>
      <w:r w:rsidRPr="00BC77D7">
        <w:t>timulus</w:t>
      </w:r>
    </w:p>
    <w:p w:rsidR="007600EB" w:rsidRDefault="007600EB" w:rsidP="007600EB">
      <w:pPr>
        <w:rPr>
          <w:sz w:val="20"/>
        </w:rPr>
      </w:pPr>
      <w:r w:rsidRPr="0054640B">
        <w:rPr>
          <w:sz w:val="20"/>
        </w:rPr>
        <w:t>The fifth event of instruction refers to proving learners guidance as presented in Plate 1.5:</w:t>
      </w:r>
    </w:p>
    <w:p w:rsidR="007600EB" w:rsidRPr="00BB3D8F" w:rsidRDefault="007600EB" w:rsidP="007600EB">
      <w:pPr>
        <w:jc w:val="center"/>
      </w:pPr>
      <w:r w:rsidRPr="00FD7D07">
        <w:rPr>
          <w:noProof/>
        </w:rPr>
        <w:drawing>
          <wp:inline distT="0" distB="0" distL="0" distR="0" wp14:anchorId="5AFDBA81" wp14:editId="52E8BBD5">
            <wp:extent cx="2879090" cy="2040890"/>
            <wp:effectExtent l="0" t="0" r="0" b="0"/>
            <wp:docPr id="9" name="Picture 9"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090" cy="2040890"/>
                    </a:xfrm>
                    <a:prstGeom prst="rect">
                      <a:avLst/>
                    </a:prstGeom>
                    <a:noFill/>
                    <a:ln>
                      <a:noFill/>
                    </a:ln>
                  </pic:spPr>
                </pic:pic>
              </a:graphicData>
            </a:graphic>
          </wp:inline>
        </w:drawing>
      </w:r>
    </w:p>
    <w:p w:rsidR="007600EB" w:rsidRDefault="007600EB" w:rsidP="00C95597">
      <w:pPr>
        <w:pStyle w:val="Heading5"/>
      </w:pPr>
      <w:r w:rsidRPr="00BC77D7">
        <w:t xml:space="preserve">Plate 1.5: Learners </w:t>
      </w:r>
      <w:r w:rsidR="00472F60">
        <w:t>g</w:t>
      </w:r>
      <w:r w:rsidRPr="00BC77D7">
        <w:t>uidance</w:t>
      </w:r>
    </w:p>
    <w:p w:rsidR="007600EB" w:rsidRDefault="007600EB" w:rsidP="007600EB">
      <w:pPr>
        <w:rPr>
          <w:sz w:val="20"/>
        </w:rPr>
      </w:pPr>
      <w:r w:rsidRPr="0054640B">
        <w:rPr>
          <w:sz w:val="20"/>
        </w:rPr>
        <w:t>The sixth event refers to eliciting performance which comes in a form of questions as presented in Plate1.6.</w:t>
      </w:r>
    </w:p>
    <w:p w:rsidR="007600EB" w:rsidRPr="00BB3D8F" w:rsidRDefault="007600EB" w:rsidP="007600EB">
      <w:pPr>
        <w:jc w:val="center"/>
      </w:pPr>
      <w:r w:rsidRPr="00FD7D07">
        <w:rPr>
          <w:noProof/>
        </w:rPr>
        <w:lastRenderedPageBreak/>
        <w:drawing>
          <wp:inline distT="0" distB="0" distL="0" distR="0" wp14:anchorId="457AB378" wp14:editId="0F43DB50">
            <wp:extent cx="2879090" cy="1959610"/>
            <wp:effectExtent l="0" t="0" r="0" b="2540"/>
            <wp:docPr id="8" name="Picture 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es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090" cy="1959610"/>
                    </a:xfrm>
                    <a:prstGeom prst="rect">
                      <a:avLst/>
                    </a:prstGeom>
                    <a:noFill/>
                    <a:ln>
                      <a:noFill/>
                    </a:ln>
                  </pic:spPr>
                </pic:pic>
              </a:graphicData>
            </a:graphic>
          </wp:inline>
        </w:drawing>
      </w:r>
    </w:p>
    <w:p w:rsidR="007600EB" w:rsidRDefault="007600EB" w:rsidP="00C95597">
      <w:pPr>
        <w:pStyle w:val="Heading5"/>
      </w:pPr>
      <w:r w:rsidRPr="00BC77D7">
        <w:t xml:space="preserve">Plate 1.6: Eliciting </w:t>
      </w:r>
      <w:r w:rsidR="00472F60">
        <w:t>p</w:t>
      </w:r>
      <w:r w:rsidRPr="00BC77D7">
        <w:t>erformance</w:t>
      </w:r>
    </w:p>
    <w:p w:rsidR="007600EB" w:rsidRDefault="007600EB" w:rsidP="007600EB">
      <w:pPr>
        <w:rPr>
          <w:sz w:val="20"/>
        </w:rPr>
      </w:pPr>
      <w:r w:rsidRPr="0054640B">
        <w:rPr>
          <w:sz w:val="20"/>
        </w:rPr>
        <w:t>The seventh event of instruction used in this research is giving feedback as presented in plate 1.7.</w:t>
      </w:r>
    </w:p>
    <w:p w:rsidR="007600EB" w:rsidRPr="00BB3D8F" w:rsidRDefault="007600EB" w:rsidP="007600EB">
      <w:pPr>
        <w:jc w:val="center"/>
        <w:rPr>
          <w:b/>
          <w:bCs/>
        </w:rPr>
      </w:pPr>
      <w:r w:rsidRPr="00B47DC3">
        <w:rPr>
          <w:b/>
          <w:noProof/>
        </w:rPr>
        <w:drawing>
          <wp:inline distT="0" distB="0" distL="0" distR="0" wp14:anchorId="394141F0" wp14:editId="178B5EAB">
            <wp:extent cx="2879090" cy="1964690"/>
            <wp:effectExtent l="0" t="0" r="0" b="0"/>
            <wp:docPr id="7" name="Picture 7"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eedB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090" cy="1964690"/>
                    </a:xfrm>
                    <a:prstGeom prst="rect">
                      <a:avLst/>
                    </a:prstGeom>
                    <a:noFill/>
                    <a:ln>
                      <a:noFill/>
                    </a:ln>
                  </pic:spPr>
                </pic:pic>
              </a:graphicData>
            </a:graphic>
          </wp:inline>
        </w:drawing>
      </w:r>
    </w:p>
    <w:p w:rsidR="007600EB" w:rsidRDefault="007600EB" w:rsidP="00FB2F59">
      <w:pPr>
        <w:pStyle w:val="Heading5"/>
      </w:pPr>
      <w:r w:rsidRPr="00BC77D7">
        <w:t xml:space="preserve">Plate 1.7: Giving </w:t>
      </w:r>
      <w:r w:rsidR="00472F60">
        <w:t>f</w:t>
      </w:r>
      <w:r w:rsidRPr="00BC77D7">
        <w:t>eedback</w:t>
      </w:r>
    </w:p>
    <w:p w:rsidR="007600EB" w:rsidRDefault="007600EB" w:rsidP="007600EB">
      <w:r w:rsidRPr="0054640B">
        <w:t xml:space="preserve">The menus and buttons provided in the SIMI environment makes it easy for the flight attendant to navigate easily through the program and to repeat the lesson at his own pace. The menu buttons include home, back, next and replay. In addition, the video have special </w:t>
      </w:r>
      <w:r w:rsidRPr="002B69DF">
        <w:t>replay buttons.</w:t>
      </w:r>
    </w:p>
    <w:p w:rsidR="007600EB" w:rsidRDefault="007600EB" w:rsidP="007600EB">
      <w:r w:rsidRPr="0054640B">
        <w:t>The events of instruction adopted in this research provide a good deal of interactivity for the flight attendants. For example, the sixth event of “Eliciting performance” provides short quizzes within the cluster as in plate 1.6 and the seventh event of “Giving informative feedback.” presents immediate feedback which allows the flight attendants to interact within activities of the program</w:t>
      </w:r>
      <w:r>
        <w:t xml:space="preserve"> (Plate 1.7)</w:t>
      </w:r>
      <w:r w:rsidRPr="0054640B">
        <w:t>.</w:t>
      </w:r>
    </w:p>
    <w:p w:rsidR="007600EB" w:rsidRPr="0054640B" w:rsidRDefault="007600EB" w:rsidP="007600EB">
      <w:r w:rsidRPr="0054640B">
        <w:t>Dick and Carey (2001) point</w:t>
      </w:r>
      <w:r>
        <w:t>ed</w:t>
      </w:r>
      <w:r w:rsidRPr="0054640B">
        <w:t xml:space="preserve"> out that three factors affect the use of media and delivery system; the first one is the availability of the material. In this research, the materials used for the systematic interactive multimedia instruction is based on the following sources:</w:t>
      </w:r>
    </w:p>
    <w:p w:rsidR="00C95597" w:rsidRDefault="007600EB" w:rsidP="00C95597">
      <w:pPr>
        <w:ind w:left="720"/>
      </w:pPr>
      <w:r w:rsidRPr="00C95597">
        <w:rPr>
          <w:b/>
        </w:rPr>
        <w:t>Royal Jordanian flight attendant in-flight safety manual</w:t>
      </w:r>
      <w:r w:rsidRPr="0054640B">
        <w:t>.</w:t>
      </w:r>
      <w:r w:rsidR="00C95597">
        <w:t xml:space="preserve"> </w:t>
      </w:r>
    </w:p>
    <w:p w:rsidR="007600EB" w:rsidRPr="0054640B" w:rsidRDefault="007600EB" w:rsidP="00C95597">
      <w:pPr>
        <w:ind w:left="720"/>
        <w:rPr>
          <w:b/>
          <w:bCs/>
        </w:rPr>
      </w:pPr>
      <w:r w:rsidRPr="0054640B">
        <w:t>Materials provided by Royal Jordanian in-flight services department, in-flight product section and public relations department. Materials include videos and photos in-flight such as safety demonstration and cabin interior.</w:t>
      </w:r>
    </w:p>
    <w:p w:rsidR="007600EB" w:rsidRPr="0054640B" w:rsidRDefault="007600EB" w:rsidP="00C95597">
      <w:pPr>
        <w:ind w:left="720"/>
      </w:pPr>
      <w:r w:rsidRPr="0054640B">
        <w:t>First aid videos obtained from Jordan Aviation Training and Simulation (JATS) training centre.</w:t>
      </w:r>
    </w:p>
    <w:p w:rsidR="007600EB" w:rsidRDefault="007600EB" w:rsidP="00C95597">
      <w:pPr>
        <w:ind w:left="720"/>
      </w:pPr>
      <w:r w:rsidRPr="0054640B">
        <w:t xml:space="preserve">Design application software </w:t>
      </w:r>
      <w:r w:rsidR="00472F60">
        <w:t>including</w:t>
      </w:r>
      <w:r w:rsidRPr="0054640B">
        <w:t xml:space="preserve"> Flash CS3, Adobe Photoshop CS3 and Adobe Flash CS3 encoder.</w:t>
      </w:r>
    </w:p>
    <w:p w:rsidR="007600EB" w:rsidRDefault="007600EB" w:rsidP="007600EB">
      <w:r w:rsidRPr="0054640B">
        <w:lastRenderedPageBreak/>
        <w:t xml:space="preserve">The second factor that affects the use of media is </w:t>
      </w:r>
      <w:r w:rsidR="00472F60" w:rsidRPr="0054640B">
        <w:t xml:space="preserve">limitations </w:t>
      </w:r>
      <w:r w:rsidR="00472F60">
        <w:t xml:space="preserve">in </w:t>
      </w:r>
      <w:r w:rsidRPr="0054640B">
        <w:t>production and implementation. The SIMI makes use of multimedia and is designed using Adobe Flash CS3 design application software. The researcher designed and developed the material. Dick and Carey refer</w:t>
      </w:r>
      <w:r>
        <w:t>red</w:t>
      </w:r>
      <w:r w:rsidRPr="0054640B">
        <w:t xml:space="preserve"> to the rough drafts, which are subject to revision, as intended to present a quick sample of the work for formative evaluation before developing the final expensive package. As for tools and resources used in developing the prototype, Dick and Carey point</w:t>
      </w:r>
      <w:r>
        <w:t>ed</w:t>
      </w:r>
      <w:r w:rsidRPr="0054640B">
        <w:t xml:space="preserve"> out that tools and resources require the use of technical as well as artistic skills. Therefore, the researcher designed a rapid prototype as a sample product used for demonstration purposes and for formative evaluation and revision. The researcher consulted people with instructional design experience for suggestions and recommendations with regard to the developed prototype.</w:t>
      </w:r>
    </w:p>
    <w:p w:rsidR="007600EB" w:rsidRDefault="007600EB" w:rsidP="007600EB">
      <w:r w:rsidRPr="0054640B">
        <w:t>According to Dick and Carey, the third factor is facilitation from instructor during instruction which must be defined before selecting or developing the material. In this research</w:t>
      </w:r>
      <w:r w:rsidR="00472F60">
        <w:t>,</w:t>
      </w:r>
      <w:r w:rsidRPr="0054640B">
        <w:t xml:space="preserve"> since instruction is self-paced and makes use of the computers available at the crew center, each in-flight supervisor with his seven crew members studied the package before PFB through CBT.</w:t>
      </w:r>
    </w:p>
    <w:p w:rsidR="007600EB" w:rsidRDefault="007600EB" w:rsidP="007600EB">
      <w:r w:rsidRPr="0054640B">
        <w:t>There are two levels of formative evaluation in this research</w:t>
      </w:r>
      <w:r w:rsidR="00472F60">
        <w:t>,</w:t>
      </w:r>
      <w:r w:rsidRPr="0054640B">
        <w:t xml:space="preserve"> one</w:t>
      </w:r>
      <w:r w:rsidR="00472F60">
        <w:t>-</w:t>
      </w:r>
      <w:r w:rsidRPr="0054640B">
        <w:t>to</w:t>
      </w:r>
      <w:r w:rsidR="00472F60">
        <w:t>-</w:t>
      </w:r>
      <w:r w:rsidRPr="0054640B">
        <w:t>one evaluation and small group evaluation</w:t>
      </w:r>
      <w:r w:rsidR="00472F60">
        <w:t>. T</w:t>
      </w:r>
      <w:r w:rsidRPr="0054640B">
        <w:t xml:space="preserve">he program has been validated by supervisors from in-flight Services of Royal Jordan. </w:t>
      </w:r>
      <w:r w:rsidR="00472F60">
        <w:t>T</w:t>
      </w:r>
      <w:r w:rsidRPr="0054640B">
        <w:t xml:space="preserve">he prototype was </w:t>
      </w:r>
      <w:r w:rsidR="00472F60">
        <w:t xml:space="preserve">also </w:t>
      </w:r>
      <w:r w:rsidRPr="0054640B">
        <w:t>presented to programming experts to identify technical problems and to instructional designers for recommendations on visual and audio</w:t>
      </w:r>
      <w:r w:rsidR="00472F60">
        <w:t xml:space="preserve"> content</w:t>
      </w:r>
      <w:r w:rsidRPr="0054640B">
        <w:t xml:space="preserve">. The feedback was used to improve the program.  </w:t>
      </w:r>
    </w:p>
    <w:p w:rsidR="007600EB" w:rsidRDefault="007600EB" w:rsidP="007600EB">
      <w:r w:rsidRPr="0054640B">
        <w:t xml:space="preserve">Revising instructional material is based on the data obtained from the subject matter experts and from the small in-flight services </w:t>
      </w:r>
      <w:r w:rsidR="00472F60">
        <w:t xml:space="preserve">group </w:t>
      </w:r>
      <w:r w:rsidRPr="0054640B">
        <w:t>in Royal Jordanian airline. In addition, comments provided by instructional designers were taken into consideration in amending the prototype.</w:t>
      </w:r>
    </w:p>
    <w:p w:rsidR="007600EB" w:rsidRPr="00F60484" w:rsidRDefault="007600EB" w:rsidP="00C95597">
      <w:pPr>
        <w:pStyle w:val="Heading7"/>
      </w:pPr>
      <w:r w:rsidRPr="00F60484">
        <w:t>Results</w:t>
      </w:r>
    </w:p>
    <w:p w:rsidR="007600EB" w:rsidRPr="00F60484" w:rsidRDefault="007600EB" w:rsidP="00C95597">
      <w:pPr>
        <w:pStyle w:val="Heading4"/>
      </w:pPr>
      <w:r w:rsidRPr="00F60484">
        <w:t>A-Formative evaluation</w:t>
      </w:r>
    </w:p>
    <w:p w:rsidR="007600EB" w:rsidRPr="00F60484" w:rsidRDefault="007600EB" w:rsidP="00C95597">
      <w:r w:rsidRPr="00F60484">
        <w:t xml:space="preserve">1- Usability  </w:t>
      </w:r>
    </w:p>
    <w:p w:rsidR="007600EB" w:rsidRDefault="007600EB" w:rsidP="007600EB">
      <w:r w:rsidRPr="0054640B">
        <w:t>A Usability questionnaire (Lund, 2001) was administered to the flight attendants to measure the ease, appropriateness and intuitiveness of the SIMI package. The factors evaluated were content, usability, ease of use and satisfaction (Table 2). The reported means for all the factors were all greater than 4.8 on the scale of 1 to 5. This indicated that the package has met the usability requirements and was easy and intuitive.</w:t>
      </w:r>
    </w:p>
    <w:p w:rsidR="007600EB" w:rsidRDefault="007600EB" w:rsidP="00C95597">
      <w:pPr>
        <w:pStyle w:val="Heading5"/>
      </w:pPr>
      <w:r w:rsidRPr="0023235F">
        <w:t>Table 2</w:t>
      </w:r>
    </w:p>
    <w:tbl>
      <w:tblPr>
        <w:tblW w:w="8319"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25"/>
        <w:gridCol w:w="1224"/>
        <w:gridCol w:w="1287"/>
        <w:gridCol w:w="1326"/>
        <w:gridCol w:w="1224"/>
        <w:gridCol w:w="1733"/>
      </w:tblGrid>
      <w:tr w:rsidR="007600EB" w:rsidRPr="0023235F" w:rsidTr="007600EB">
        <w:trPr>
          <w:cantSplit/>
          <w:trHeight w:val="386"/>
          <w:tblHeader/>
        </w:trPr>
        <w:tc>
          <w:tcPr>
            <w:tcW w:w="8319" w:type="dxa"/>
            <w:gridSpan w:val="6"/>
            <w:tcBorders>
              <w:top w:val="nil"/>
              <w:left w:val="nil"/>
              <w:bottom w:val="nil"/>
              <w:right w:val="nil"/>
            </w:tcBorders>
            <w:shd w:val="clear" w:color="auto" w:fill="FFFFFF"/>
            <w:tcMar>
              <w:top w:w="30" w:type="dxa"/>
              <w:left w:w="30" w:type="dxa"/>
              <w:bottom w:w="30" w:type="dxa"/>
              <w:right w:w="30" w:type="dxa"/>
            </w:tcMar>
            <w:vAlign w:val="center"/>
          </w:tcPr>
          <w:p w:rsidR="007600EB" w:rsidRPr="0023235F" w:rsidRDefault="007600EB" w:rsidP="00C95597">
            <w:pPr>
              <w:pStyle w:val="Heading5"/>
              <w:rPr>
                <w:color w:val="000000"/>
                <w:lang w:bidi="ar-JO"/>
              </w:rPr>
            </w:pPr>
            <w:r w:rsidRPr="0023235F">
              <w:t xml:space="preserve">Means </w:t>
            </w:r>
            <w:r w:rsidR="001D1190" w:rsidRPr="0023235F">
              <w:t>and standard deviations of the usability test</w:t>
            </w:r>
          </w:p>
        </w:tc>
      </w:tr>
      <w:tr w:rsidR="007600EB" w:rsidRPr="0023235F" w:rsidTr="007600EB">
        <w:trPr>
          <w:cantSplit/>
          <w:trHeight w:val="386"/>
          <w:tblHeader/>
        </w:trPr>
        <w:tc>
          <w:tcPr>
            <w:tcW w:w="15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600EB" w:rsidRPr="0023235F" w:rsidRDefault="007600EB" w:rsidP="007600EB">
            <w:pPr>
              <w:rPr>
                <w:sz w:val="20"/>
                <w:lang w:bidi="ar-JO"/>
              </w:rPr>
            </w:pPr>
          </w:p>
        </w:tc>
        <w:tc>
          <w:tcPr>
            <w:tcW w:w="1224"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600EB" w:rsidRPr="0023235F" w:rsidRDefault="007600EB" w:rsidP="007600EB">
            <w:pPr>
              <w:jc w:val="center"/>
              <w:rPr>
                <w:color w:val="000000"/>
                <w:sz w:val="20"/>
                <w:lang w:bidi="ar-JO"/>
              </w:rPr>
            </w:pPr>
            <w:r w:rsidRPr="0023235F">
              <w:rPr>
                <w:color w:val="000000"/>
                <w:sz w:val="20"/>
              </w:rPr>
              <w:t>N</w:t>
            </w:r>
          </w:p>
        </w:tc>
        <w:tc>
          <w:tcPr>
            <w:tcW w:w="1287" w:type="dxa"/>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600EB" w:rsidRPr="0023235F" w:rsidRDefault="007600EB" w:rsidP="007600EB">
            <w:pPr>
              <w:jc w:val="center"/>
              <w:rPr>
                <w:color w:val="000000"/>
                <w:sz w:val="20"/>
              </w:rPr>
            </w:pPr>
            <w:r w:rsidRPr="0023235F">
              <w:rPr>
                <w:color w:val="000000"/>
                <w:sz w:val="20"/>
              </w:rPr>
              <w:t>Minimum</w:t>
            </w:r>
          </w:p>
        </w:tc>
        <w:tc>
          <w:tcPr>
            <w:tcW w:w="1326" w:type="dxa"/>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600EB" w:rsidRPr="0023235F" w:rsidRDefault="007600EB" w:rsidP="007600EB">
            <w:pPr>
              <w:jc w:val="center"/>
              <w:rPr>
                <w:color w:val="000000"/>
                <w:sz w:val="20"/>
              </w:rPr>
            </w:pPr>
            <w:r w:rsidRPr="0023235F">
              <w:rPr>
                <w:color w:val="000000"/>
                <w:sz w:val="20"/>
              </w:rPr>
              <w:t>Maximum</w:t>
            </w:r>
          </w:p>
        </w:tc>
        <w:tc>
          <w:tcPr>
            <w:tcW w:w="1224" w:type="dxa"/>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7600EB" w:rsidRPr="0023235F" w:rsidRDefault="007600EB" w:rsidP="007600EB">
            <w:pPr>
              <w:jc w:val="center"/>
              <w:rPr>
                <w:color w:val="000000"/>
                <w:sz w:val="20"/>
              </w:rPr>
            </w:pPr>
            <w:r w:rsidRPr="0023235F">
              <w:rPr>
                <w:color w:val="000000"/>
                <w:sz w:val="20"/>
              </w:rPr>
              <w:t>Mean</w:t>
            </w:r>
          </w:p>
        </w:tc>
        <w:tc>
          <w:tcPr>
            <w:tcW w:w="1733" w:type="dxa"/>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600EB" w:rsidRPr="0023235F" w:rsidRDefault="007600EB" w:rsidP="007600EB">
            <w:pPr>
              <w:jc w:val="center"/>
              <w:rPr>
                <w:color w:val="000000"/>
                <w:sz w:val="20"/>
              </w:rPr>
            </w:pPr>
            <w:r w:rsidRPr="0023235F">
              <w:rPr>
                <w:color w:val="000000"/>
                <w:sz w:val="20"/>
              </w:rPr>
              <w:t>Std. Deviation</w:t>
            </w:r>
          </w:p>
        </w:tc>
      </w:tr>
      <w:tr w:rsidR="007600EB" w:rsidRPr="0023235F" w:rsidTr="007600EB">
        <w:trPr>
          <w:cantSplit/>
          <w:trHeight w:val="386"/>
          <w:tblHeader/>
        </w:trPr>
        <w:tc>
          <w:tcPr>
            <w:tcW w:w="15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rPr>
                <w:color w:val="000000"/>
                <w:sz w:val="20"/>
              </w:rPr>
            </w:pPr>
            <w:r w:rsidRPr="0023235F">
              <w:rPr>
                <w:color w:val="000000"/>
                <w:sz w:val="20"/>
              </w:rPr>
              <w:t>Satisfaction</w:t>
            </w:r>
          </w:p>
        </w:tc>
        <w:tc>
          <w:tcPr>
            <w:tcW w:w="1224" w:type="dxa"/>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28</w:t>
            </w:r>
          </w:p>
        </w:tc>
        <w:tc>
          <w:tcPr>
            <w:tcW w:w="1287"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4.25</w:t>
            </w:r>
          </w:p>
        </w:tc>
        <w:tc>
          <w:tcPr>
            <w:tcW w:w="1326"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5.00</w:t>
            </w:r>
          </w:p>
        </w:tc>
        <w:tc>
          <w:tcPr>
            <w:tcW w:w="1224"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tl/>
                <w:lang w:bidi="ar-JO"/>
              </w:rPr>
            </w:pPr>
            <w:r w:rsidRPr="0023235F">
              <w:rPr>
                <w:color w:val="000000"/>
                <w:sz w:val="20"/>
              </w:rPr>
              <w:t>4.82</w:t>
            </w:r>
          </w:p>
        </w:tc>
        <w:tc>
          <w:tcPr>
            <w:tcW w:w="1733" w:type="dxa"/>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tl/>
                <w:lang w:bidi="ar-JO"/>
              </w:rPr>
            </w:pPr>
            <w:r w:rsidRPr="0023235F">
              <w:rPr>
                <w:color w:val="000000"/>
                <w:sz w:val="20"/>
              </w:rPr>
              <w:t>.23</w:t>
            </w:r>
          </w:p>
        </w:tc>
      </w:tr>
      <w:tr w:rsidR="007600EB" w:rsidRPr="0023235F" w:rsidTr="007600EB">
        <w:trPr>
          <w:cantSplit/>
          <w:trHeight w:val="386"/>
          <w:tblHeader/>
        </w:trPr>
        <w:tc>
          <w:tcPr>
            <w:tcW w:w="15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rPr>
                <w:color w:val="000000"/>
                <w:sz w:val="20"/>
                <w:rtl/>
                <w:lang w:bidi="ar-JO"/>
              </w:rPr>
            </w:pPr>
            <w:r w:rsidRPr="0023235F">
              <w:rPr>
                <w:color w:val="000000"/>
                <w:sz w:val="20"/>
              </w:rPr>
              <w:t>Ease of Use</w:t>
            </w:r>
          </w:p>
        </w:tc>
        <w:tc>
          <w:tcPr>
            <w:tcW w:w="1224"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tl/>
                <w:lang w:bidi="ar-JO"/>
              </w:rPr>
            </w:pPr>
            <w:r w:rsidRPr="0023235F">
              <w:rPr>
                <w:color w:val="000000"/>
                <w:sz w:val="20"/>
              </w:rPr>
              <w:t>28</w:t>
            </w:r>
          </w:p>
        </w:tc>
        <w:tc>
          <w:tcPr>
            <w:tcW w:w="128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4.20</w:t>
            </w:r>
          </w:p>
        </w:tc>
        <w:tc>
          <w:tcPr>
            <w:tcW w:w="132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5.00</w:t>
            </w:r>
          </w:p>
        </w:tc>
        <w:tc>
          <w:tcPr>
            <w:tcW w:w="12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4.8</w:t>
            </w:r>
            <w:r>
              <w:rPr>
                <w:color w:val="000000"/>
                <w:sz w:val="20"/>
              </w:rPr>
              <w:t>0</w:t>
            </w:r>
          </w:p>
        </w:tc>
        <w:tc>
          <w:tcPr>
            <w:tcW w:w="1733"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.27</w:t>
            </w:r>
          </w:p>
        </w:tc>
      </w:tr>
      <w:tr w:rsidR="007600EB" w:rsidRPr="0023235F" w:rsidTr="007600EB">
        <w:trPr>
          <w:cantSplit/>
          <w:trHeight w:val="386"/>
          <w:tblHeader/>
        </w:trPr>
        <w:tc>
          <w:tcPr>
            <w:tcW w:w="15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rPr>
                <w:color w:val="000000"/>
                <w:sz w:val="20"/>
                <w:rtl/>
                <w:lang w:bidi="ar-JO"/>
              </w:rPr>
            </w:pPr>
            <w:r w:rsidRPr="0023235F">
              <w:rPr>
                <w:color w:val="000000"/>
                <w:sz w:val="20"/>
              </w:rPr>
              <w:t>Usability</w:t>
            </w:r>
          </w:p>
        </w:tc>
        <w:tc>
          <w:tcPr>
            <w:tcW w:w="1224"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28</w:t>
            </w:r>
          </w:p>
        </w:tc>
        <w:tc>
          <w:tcPr>
            <w:tcW w:w="128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3.60</w:t>
            </w:r>
          </w:p>
        </w:tc>
        <w:tc>
          <w:tcPr>
            <w:tcW w:w="132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5.00</w:t>
            </w:r>
          </w:p>
        </w:tc>
        <w:tc>
          <w:tcPr>
            <w:tcW w:w="12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tl/>
                <w:lang w:bidi="ar-JO"/>
              </w:rPr>
            </w:pPr>
            <w:r w:rsidRPr="0023235F">
              <w:rPr>
                <w:color w:val="000000"/>
                <w:sz w:val="20"/>
              </w:rPr>
              <w:t>4.79</w:t>
            </w:r>
          </w:p>
        </w:tc>
        <w:tc>
          <w:tcPr>
            <w:tcW w:w="1733"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tl/>
                <w:lang w:bidi="ar-JO"/>
              </w:rPr>
            </w:pPr>
            <w:r w:rsidRPr="0023235F">
              <w:rPr>
                <w:color w:val="000000"/>
                <w:sz w:val="20"/>
              </w:rPr>
              <w:t>.31</w:t>
            </w:r>
          </w:p>
        </w:tc>
      </w:tr>
      <w:tr w:rsidR="007600EB" w:rsidRPr="0023235F" w:rsidTr="007600EB">
        <w:trPr>
          <w:cantSplit/>
          <w:trHeight w:val="386"/>
        </w:trPr>
        <w:tc>
          <w:tcPr>
            <w:tcW w:w="15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rPr>
                <w:color w:val="000000"/>
                <w:sz w:val="20"/>
                <w:rtl/>
                <w:lang w:bidi="ar-JO"/>
              </w:rPr>
            </w:pPr>
            <w:r w:rsidRPr="0023235F">
              <w:rPr>
                <w:color w:val="000000"/>
                <w:sz w:val="20"/>
              </w:rPr>
              <w:t>Content</w:t>
            </w:r>
          </w:p>
        </w:tc>
        <w:tc>
          <w:tcPr>
            <w:tcW w:w="1224" w:type="dxa"/>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28</w:t>
            </w:r>
          </w:p>
        </w:tc>
        <w:tc>
          <w:tcPr>
            <w:tcW w:w="1287"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4.17</w:t>
            </w:r>
          </w:p>
        </w:tc>
        <w:tc>
          <w:tcPr>
            <w:tcW w:w="1326"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5.00</w:t>
            </w:r>
          </w:p>
        </w:tc>
        <w:tc>
          <w:tcPr>
            <w:tcW w:w="1224"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rPr>
            </w:pPr>
            <w:r w:rsidRPr="0023235F">
              <w:rPr>
                <w:color w:val="000000"/>
                <w:sz w:val="20"/>
              </w:rPr>
              <w:t>4.80</w:t>
            </w:r>
          </w:p>
        </w:tc>
        <w:tc>
          <w:tcPr>
            <w:tcW w:w="1733" w:type="dxa"/>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tcPr>
          <w:p w:rsidR="007600EB" w:rsidRPr="0023235F" w:rsidRDefault="007600EB" w:rsidP="001D1190">
            <w:pPr>
              <w:spacing w:after="60"/>
              <w:jc w:val="center"/>
              <w:rPr>
                <w:color w:val="000000"/>
                <w:sz w:val="20"/>
                <w:lang w:bidi="ar-JO"/>
              </w:rPr>
            </w:pPr>
            <w:r w:rsidRPr="0023235F">
              <w:rPr>
                <w:color w:val="000000"/>
                <w:sz w:val="20"/>
              </w:rPr>
              <w:t>.25</w:t>
            </w:r>
          </w:p>
        </w:tc>
      </w:tr>
    </w:tbl>
    <w:p w:rsidR="007600EB" w:rsidRPr="00F60484" w:rsidRDefault="001D1190" w:rsidP="007600EB">
      <w:pPr>
        <w:rPr>
          <w:rFonts w:ascii="Arial" w:hAnsi="Arial" w:cs="Arial"/>
          <w:b/>
          <w:bCs/>
          <w:sz w:val="20"/>
        </w:rPr>
      </w:pPr>
      <w:r>
        <w:rPr>
          <w:rFonts w:ascii="Arial" w:hAnsi="Arial" w:cs="Arial"/>
          <w:b/>
          <w:bCs/>
          <w:sz w:val="20"/>
        </w:rPr>
        <w:br/>
      </w:r>
      <w:r w:rsidR="007600EB" w:rsidRPr="00F60484">
        <w:rPr>
          <w:rFonts w:ascii="Arial" w:hAnsi="Arial" w:cs="Arial"/>
          <w:b/>
          <w:bCs/>
          <w:sz w:val="20"/>
        </w:rPr>
        <w:t>Reliability of the cabin SKS test</w:t>
      </w:r>
    </w:p>
    <w:p w:rsidR="007600EB" w:rsidRDefault="007600EB" w:rsidP="007600EB">
      <w:r w:rsidRPr="0054640B">
        <w:t>The test reliability was verified through Spearman-Brown Coefficient r = 0.863 on a group of 28 flight atten</w:t>
      </w:r>
      <w:r>
        <w:t>dants</w:t>
      </w:r>
      <w:r w:rsidRPr="0054640B">
        <w:t xml:space="preserve">. The flight attendants were chosen randomly from the population of the study. </w:t>
      </w:r>
      <w:r w:rsidRPr="0054640B">
        <w:lastRenderedPageBreak/>
        <w:t xml:space="preserve">Members of the staff who participated in the pilot study were excluded from the actual study. </w:t>
      </w:r>
      <w:r w:rsidR="001D1190">
        <w:br/>
      </w:r>
      <w:r w:rsidRPr="0054640B">
        <w:t>r = 0.863 was considered to be suitable for the purpose of this study</w:t>
      </w:r>
      <w:r>
        <w:t xml:space="preserve"> </w:t>
      </w:r>
      <w:r w:rsidRPr="00B00867">
        <w:t>(Gay &amp; Arasian, 2003).</w:t>
      </w:r>
    </w:p>
    <w:p w:rsidR="007600EB" w:rsidRPr="009D38B1" w:rsidRDefault="007600EB" w:rsidP="007600EB">
      <w:pPr>
        <w:rPr>
          <w:rFonts w:ascii="Arial" w:hAnsi="Arial" w:cs="Arial"/>
          <w:b/>
          <w:bCs/>
          <w:sz w:val="20"/>
        </w:rPr>
      </w:pPr>
      <w:r w:rsidRPr="009D38B1">
        <w:rPr>
          <w:rFonts w:ascii="Arial" w:hAnsi="Arial" w:cs="Arial"/>
          <w:b/>
          <w:bCs/>
          <w:sz w:val="20"/>
        </w:rPr>
        <w:t xml:space="preserve">Difficulty </w:t>
      </w:r>
      <w:r w:rsidR="00C95597">
        <w:rPr>
          <w:rFonts w:ascii="Arial" w:hAnsi="Arial" w:cs="Arial"/>
          <w:b/>
          <w:bCs/>
          <w:sz w:val="20"/>
        </w:rPr>
        <w:t>c</w:t>
      </w:r>
      <w:r w:rsidRPr="009D38B1">
        <w:rPr>
          <w:rFonts w:ascii="Arial" w:hAnsi="Arial" w:cs="Arial"/>
          <w:b/>
          <w:bCs/>
          <w:sz w:val="20"/>
        </w:rPr>
        <w:t>oefficients</w:t>
      </w:r>
    </w:p>
    <w:p w:rsidR="007600EB" w:rsidRPr="00AD2D23" w:rsidRDefault="007600EB" w:rsidP="007600EB">
      <w:pPr>
        <w:rPr>
          <w:szCs w:val="22"/>
        </w:rPr>
      </w:pPr>
      <w:r w:rsidRPr="00AD2D23">
        <w:rPr>
          <w:szCs w:val="22"/>
        </w:rPr>
        <w:t>An analysis of the Difficulty index and Discrimination Index of the test items was conducted. Table 3 reports the difficulty indices of each item. The maximum index of difficulty is 100 per cent. Items falling below 33 percent and above 63 percent are likely to be too difficult and too easy respectively (Cohen, Manion &amp; Morrison, 2005). For the current study, difficulty coefficients were ranged from 28.6 to 82.1 as shown in Table 5.2. From the table 12 items appeared to be in the too easy category but a check of the test item distribution table showed that they belong to the verbal information and the lower level categories of the intellectual skills. They are retained because they are necessary items in the hierarchy of intellectual skills and getting them correct does not guarantee successful application in the next level of the hierarchy. It was also found that all the 13 items (Q1, Q2, Q3, Q4, Q5, Q19, Q33, Q34, Q35, Q46, Q47, Q49, and Q50) reported as being difficult with less than fifty percent being able to answer correctly belonged to the Higher-Order Rule category.</w:t>
      </w:r>
    </w:p>
    <w:p w:rsidR="007600EB" w:rsidRDefault="007600EB" w:rsidP="00C95597">
      <w:pPr>
        <w:pStyle w:val="Heading5"/>
      </w:pPr>
      <w:r w:rsidRPr="009D38B1">
        <w:t>Table 3</w:t>
      </w:r>
    </w:p>
    <w:p w:rsidR="007600EB" w:rsidRPr="009D38B1" w:rsidRDefault="007600EB" w:rsidP="00C95597">
      <w:pPr>
        <w:pStyle w:val="Heading5"/>
        <w:rPr>
          <w:rtl/>
          <w:lang w:bidi="ar-JO"/>
        </w:rPr>
      </w:pPr>
      <w:r w:rsidRPr="009D38B1">
        <w:t xml:space="preserve">Difficulty </w:t>
      </w:r>
      <w:r w:rsidR="001D1190" w:rsidRPr="009D38B1">
        <w:t xml:space="preserve">and </w:t>
      </w:r>
      <w:r w:rsidR="001D1190" w:rsidRPr="009D38B1">
        <w:rPr>
          <w:szCs w:val="22"/>
        </w:rPr>
        <w:t>discriminability</w:t>
      </w:r>
      <w:r w:rsidR="001D1190" w:rsidRPr="009D38B1">
        <w:t xml:space="preserve"> coefficients of the achievement test items</w:t>
      </w:r>
    </w:p>
    <w:tbl>
      <w:tblPr>
        <w:tblW w:w="5367" w:type="dxa"/>
        <w:jc w:val="center"/>
        <w:tblLook w:val="04A0" w:firstRow="1" w:lastRow="0" w:firstColumn="1" w:lastColumn="0" w:noHBand="0" w:noVBand="1"/>
      </w:tblPr>
      <w:tblGrid>
        <w:gridCol w:w="1021"/>
        <w:gridCol w:w="1530"/>
        <w:gridCol w:w="1259"/>
        <w:gridCol w:w="1546"/>
        <w:gridCol w:w="11"/>
      </w:tblGrid>
      <w:tr w:rsidR="007600EB" w:rsidRPr="001D7F57" w:rsidTr="001D7F57">
        <w:trPr>
          <w:trHeight w:val="250"/>
          <w:tblHeader/>
          <w:jc w:val="center"/>
        </w:trPr>
        <w:tc>
          <w:tcPr>
            <w:tcW w:w="10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pStyle w:val="Heading5"/>
              <w:spacing w:before="20" w:after="20"/>
              <w:rPr>
                <w:sz w:val="18"/>
                <w:szCs w:val="18"/>
              </w:rPr>
            </w:pPr>
            <w:r w:rsidRPr="001D7F57">
              <w:rPr>
                <w:sz w:val="18"/>
                <w:szCs w:val="18"/>
              </w:rPr>
              <w:t>Item</w:t>
            </w:r>
          </w:p>
        </w:tc>
        <w:tc>
          <w:tcPr>
            <w:tcW w:w="1530" w:type="dxa"/>
            <w:tcBorders>
              <w:top w:val="single" w:sz="8" w:space="0" w:color="auto"/>
              <w:left w:val="nil"/>
              <w:bottom w:val="single" w:sz="8" w:space="0" w:color="auto"/>
              <w:right w:val="single" w:sz="4" w:space="0" w:color="auto"/>
            </w:tcBorders>
            <w:vAlign w:val="center"/>
          </w:tcPr>
          <w:p w:rsidR="007600EB" w:rsidRPr="001D7F57" w:rsidRDefault="007600EB" w:rsidP="001D7F57">
            <w:pPr>
              <w:pStyle w:val="Heading5"/>
              <w:spacing w:before="20" w:after="20"/>
              <w:rPr>
                <w:sz w:val="18"/>
                <w:szCs w:val="18"/>
                <w:lang w:bidi="ar-JO"/>
              </w:rPr>
            </w:pPr>
            <w:r w:rsidRPr="001D7F57">
              <w:rPr>
                <w:sz w:val="18"/>
                <w:szCs w:val="18"/>
                <w:lang w:bidi="ar-JO"/>
              </w:rPr>
              <w:t>Category</w:t>
            </w:r>
          </w:p>
        </w:tc>
        <w:tc>
          <w:tcPr>
            <w:tcW w:w="1259" w:type="dxa"/>
            <w:tcBorders>
              <w:top w:val="single" w:sz="8" w:space="0" w:color="auto"/>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pStyle w:val="Heading5"/>
              <w:spacing w:before="20" w:after="20"/>
              <w:rPr>
                <w:sz w:val="18"/>
                <w:szCs w:val="18"/>
              </w:rPr>
            </w:pPr>
            <w:r w:rsidRPr="001D7F57">
              <w:rPr>
                <w:sz w:val="18"/>
                <w:szCs w:val="18"/>
              </w:rPr>
              <w:t>Difficulty</w:t>
            </w:r>
          </w:p>
        </w:tc>
        <w:tc>
          <w:tcPr>
            <w:tcW w:w="1557" w:type="dxa"/>
            <w:gridSpan w:val="2"/>
            <w:tcBorders>
              <w:top w:val="single" w:sz="8" w:space="0" w:color="auto"/>
              <w:left w:val="nil"/>
              <w:bottom w:val="single" w:sz="8" w:space="0" w:color="auto"/>
              <w:right w:val="single" w:sz="8" w:space="0" w:color="auto"/>
            </w:tcBorders>
            <w:shd w:val="clear" w:color="auto" w:fill="auto"/>
            <w:noWrap/>
            <w:vAlign w:val="center"/>
          </w:tcPr>
          <w:p w:rsidR="007600EB" w:rsidRPr="001D7F57" w:rsidRDefault="007600EB" w:rsidP="001D7F57">
            <w:pPr>
              <w:pStyle w:val="Heading5"/>
              <w:spacing w:before="20" w:after="20"/>
              <w:rPr>
                <w:sz w:val="18"/>
                <w:szCs w:val="18"/>
                <w:lang w:bidi="ar-JO"/>
              </w:rPr>
            </w:pPr>
            <w:r w:rsidRPr="001D7F57">
              <w:rPr>
                <w:sz w:val="18"/>
                <w:szCs w:val="18"/>
              </w:rPr>
              <w:t>Discriminability</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.56</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tl/>
                <w:lang w:bidi="ar-JO"/>
              </w:rPr>
            </w:pPr>
            <w:r w:rsidRPr="001D7F57">
              <w:rPr>
                <w:sz w:val="18"/>
                <w:szCs w:val="18"/>
              </w:rPr>
              <w:t>2</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.59</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0.63</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.53</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0.63</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.44</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5</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.59</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0.75</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6</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tl/>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.51</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7</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.74</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0.63</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8</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.77</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tl/>
                <w:lang w:bidi="ar-JO"/>
              </w:rPr>
            </w:pPr>
            <w:r w:rsidRPr="001D7F57">
              <w:rPr>
                <w:sz w:val="18"/>
                <w:szCs w:val="18"/>
              </w:rPr>
              <w:t>9</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.74</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10</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Concepts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11</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.79</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12</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Concepts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.79</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trHeight w:val="315"/>
          <w:jc w:val="center"/>
        </w:trPr>
        <w:tc>
          <w:tcPr>
            <w:tcW w:w="1021" w:type="dxa"/>
            <w:tcBorders>
              <w:top w:val="single" w:sz="2" w:space="0" w:color="auto"/>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13</w:t>
            </w:r>
          </w:p>
        </w:tc>
        <w:tc>
          <w:tcPr>
            <w:tcW w:w="1530" w:type="dxa"/>
            <w:tcBorders>
              <w:top w:val="single" w:sz="2" w:space="0" w:color="auto"/>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Concepts</w:t>
            </w:r>
          </w:p>
        </w:tc>
        <w:tc>
          <w:tcPr>
            <w:tcW w:w="1259" w:type="dxa"/>
            <w:tcBorders>
              <w:top w:val="single" w:sz="2" w:space="0" w:color="auto"/>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.74</w:t>
            </w:r>
          </w:p>
        </w:tc>
        <w:tc>
          <w:tcPr>
            <w:tcW w:w="1557" w:type="dxa"/>
            <w:gridSpan w:val="2"/>
            <w:tcBorders>
              <w:top w:val="single" w:sz="2" w:space="0" w:color="auto"/>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trHeight w:val="160"/>
          <w:jc w:val="center"/>
        </w:trPr>
        <w:tc>
          <w:tcPr>
            <w:tcW w:w="1021"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14</w:t>
            </w:r>
          </w:p>
        </w:tc>
        <w:tc>
          <w:tcPr>
            <w:tcW w:w="1530" w:type="dxa"/>
            <w:tcBorders>
              <w:top w:val="single" w:sz="4" w:space="0" w:color="auto"/>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tl/>
                <w:lang w:bidi="ar-JO"/>
              </w:rPr>
            </w:pPr>
            <w:r w:rsidRPr="001D7F57">
              <w:rPr>
                <w:sz w:val="18"/>
                <w:szCs w:val="18"/>
                <w:lang w:bidi="ar-JO"/>
              </w:rPr>
              <w:t>Discrimination</w:t>
            </w:r>
          </w:p>
        </w:tc>
        <w:tc>
          <w:tcPr>
            <w:tcW w:w="1259" w:type="dxa"/>
            <w:tcBorders>
              <w:top w:val="single" w:sz="4" w:space="0" w:color="auto"/>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.76</w:t>
            </w:r>
          </w:p>
        </w:tc>
        <w:tc>
          <w:tcPr>
            <w:tcW w:w="1557" w:type="dxa"/>
            <w:gridSpan w:val="2"/>
            <w:tcBorders>
              <w:top w:val="single" w:sz="4" w:space="0" w:color="auto"/>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15</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tl/>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.79</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0.13</w:t>
            </w:r>
          </w:p>
        </w:tc>
      </w:tr>
      <w:tr w:rsidR="007600EB" w:rsidRPr="001D7F57" w:rsidTr="001D7F57">
        <w:trPr>
          <w:trHeight w:val="187"/>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16</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.67</w:t>
            </w:r>
          </w:p>
        </w:tc>
        <w:tc>
          <w:tcPr>
            <w:tcW w:w="1557" w:type="dxa"/>
            <w:gridSpan w:val="2"/>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0.75</w:t>
            </w:r>
          </w:p>
        </w:tc>
      </w:tr>
      <w:tr w:rsidR="007600EB" w:rsidRPr="001D7F57" w:rsidTr="001D7F57">
        <w:trPr>
          <w:gridAfter w:val="1"/>
          <w:wAfter w:w="11" w:type="dxa"/>
          <w:trHeight w:val="196"/>
          <w:jc w:val="center"/>
        </w:trPr>
        <w:tc>
          <w:tcPr>
            <w:tcW w:w="1021"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17</w:t>
            </w:r>
          </w:p>
        </w:tc>
        <w:tc>
          <w:tcPr>
            <w:tcW w:w="1530" w:type="dxa"/>
            <w:tcBorders>
              <w:top w:val="single" w:sz="4" w:space="0" w:color="auto"/>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rPr>
              <w:t>Rules</w:t>
            </w:r>
          </w:p>
        </w:tc>
        <w:tc>
          <w:tcPr>
            <w:tcW w:w="1259" w:type="dxa"/>
            <w:tcBorders>
              <w:top w:val="single" w:sz="4" w:space="0" w:color="auto"/>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.69</w:t>
            </w:r>
          </w:p>
        </w:tc>
        <w:tc>
          <w:tcPr>
            <w:tcW w:w="1546" w:type="dxa"/>
            <w:tcBorders>
              <w:top w:val="single" w:sz="4" w:space="0" w:color="auto"/>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96"/>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18</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96"/>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19</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.66</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0.88</w:t>
            </w:r>
          </w:p>
        </w:tc>
      </w:tr>
      <w:tr w:rsidR="007600EB" w:rsidRPr="001D7F57" w:rsidTr="001D7F57">
        <w:trPr>
          <w:gridAfter w:val="1"/>
          <w:wAfter w:w="11" w:type="dxa"/>
          <w:trHeight w:val="178"/>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20</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Pr>
            </w:pPr>
            <w:r w:rsidRPr="001D7F57">
              <w:rPr>
                <w:sz w:val="18"/>
                <w:szCs w:val="18"/>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21</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.74</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22</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.76</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23</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24</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25</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Concepts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tl/>
                <w:lang w:bidi="ar-JO"/>
              </w:rPr>
            </w:pPr>
            <w:r w:rsidRPr="001D7F57">
              <w:rPr>
                <w:color w:val="000000"/>
                <w:sz w:val="18"/>
                <w:szCs w:val="18"/>
              </w:rPr>
              <w:t>.75</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26</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Concepts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0.13</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27</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.66</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28</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tl/>
                <w:lang w:bidi="ar-JO"/>
              </w:rPr>
            </w:pPr>
            <w:r w:rsidRPr="001D7F57">
              <w:rPr>
                <w:color w:val="000000"/>
                <w:sz w:val="18"/>
                <w:szCs w:val="18"/>
              </w:rPr>
              <w:t>.79</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29</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.70</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0.63</w:t>
            </w:r>
          </w:p>
        </w:tc>
      </w:tr>
      <w:tr w:rsidR="007600EB" w:rsidRPr="001D7F57" w:rsidTr="001D7F57">
        <w:trPr>
          <w:gridAfter w:val="1"/>
          <w:wAfter w:w="11" w:type="dxa"/>
          <w:trHeight w:val="16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lastRenderedPageBreak/>
              <w:t>30</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0.88</w:t>
            </w:r>
          </w:p>
        </w:tc>
      </w:tr>
      <w:tr w:rsidR="007600EB" w:rsidRPr="001D7F57" w:rsidTr="001D7F57">
        <w:trPr>
          <w:gridAfter w:val="1"/>
          <w:wAfter w:w="11" w:type="dxa"/>
          <w:trHeight w:val="16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31</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gridAfter w:val="1"/>
          <w:wAfter w:w="11" w:type="dxa"/>
          <w:trHeight w:val="178"/>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32</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.71</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268"/>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33</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.49</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241"/>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34</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.54</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35</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.47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160"/>
          <w:jc w:val="center"/>
        </w:trPr>
        <w:tc>
          <w:tcPr>
            <w:tcW w:w="1021" w:type="dxa"/>
            <w:tcBorders>
              <w:top w:val="single" w:sz="4" w:space="0" w:color="auto"/>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36</w:t>
            </w:r>
          </w:p>
        </w:tc>
        <w:tc>
          <w:tcPr>
            <w:tcW w:w="1530" w:type="dxa"/>
            <w:tcBorders>
              <w:top w:val="single" w:sz="4" w:space="0" w:color="auto"/>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rtl/>
                <w:lang w:bidi="ar-JO"/>
              </w:rPr>
            </w:pPr>
            <w:r w:rsidRPr="001D7F57">
              <w:rPr>
                <w:sz w:val="18"/>
                <w:szCs w:val="18"/>
                <w:lang w:bidi="ar-JO"/>
              </w:rPr>
              <w:t>Rules</w:t>
            </w:r>
          </w:p>
        </w:tc>
        <w:tc>
          <w:tcPr>
            <w:tcW w:w="1259" w:type="dxa"/>
            <w:tcBorders>
              <w:top w:val="single" w:sz="4" w:space="0" w:color="auto"/>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.61</w:t>
            </w:r>
          </w:p>
        </w:tc>
        <w:tc>
          <w:tcPr>
            <w:tcW w:w="1546" w:type="dxa"/>
            <w:tcBorders>
              <w:top w:val="single" w:sz="4" w:space="0" w:color="auto"/>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0.63</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37</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.79</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38</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.74</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16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39</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0.88</w:t>
            </w:r>
          </w:p>
        </w:tc>
      </w:tr>
      <w:tr w:rsidR="007600EB" w:rsidRPr="001D7F57" w:rsidTr="001D7F57">
        <w:trPr>
          <w:gridAfter w:val="1"/>
          <w:wAfter w:w="11" w:type="dxa"/>
          <w:trHeight w:val="25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40</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.67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41</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.76</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42</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43</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VI</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.79</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gridAfter w:val="1"/>
          <w:wAfter w:w="11" w:type="dxa"/>
          <w:trHeight w:val="25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44</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tl/>
                <w:lang w:bidi="ar-JO"/>
              </w:rPr>
            </w:pPr>
            <w:r w:rsidRPr="001D7F57">
              <w:rPr>
                <w:sz w:val="18"/>
                <w:szCs w:val="18"/>
              </w:rPr>
              <w:t>45</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.73</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25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46</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.46</w:t>
            </w:r>
          </w:p>
        </w:tc>
        <w:tc>
          <w:tcPr>
            <w:tcW w:w="1546" w:type="dxa"/>
            <w:tcBorders>
              <w:top w:val="single" w:sz="8" w:space="0" w:color="auto"/>
              <w:left w:val="nil"/>
              <w:bottom w:val="single" w:sz="4"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0.13</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47</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.46</w:t>
            </w:r>
          </w:p>
        </w:tc>
        <w:tc>
          <w:tcPr>
            <w:tcW w:w="1546" w:type="dxa"/>
            <w:tcBorders>
              <w:top w:val="single" w:sz="4" w:space="0" w:color="auto"/>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0.75</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48</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Discrimination</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.58</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0.38</w:t>
            </w:r>
          </w:p>
        </w:tc>
      </w:tr>
      <w:tr w:rsidR="007600EB" w:rsidRPr="001D7F57" w:rsidTr="001D7F57">
        <w:trPr>
          <w:gridAfter w:val="1"/>
          <w:wAfter w:w="11" w:type="dxa"/>
          <w:trHeight w:val="160"/>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49</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.37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0.50</w:t>
            </w:r>
          </w:p>
        </w:tc>
      </w:tr>
      <w:tr w:rsidR="007600EB" w:rsidRPr="001D7F57" w:rsidTr="001D7F57">
        <w:trPr>
          <w:gridAfter w:val="1"/>
          <w:wAfter w:w="11" w:type="dxa"/>
          <w:trHeight w:val="169"/>
          <w:jc w:val="center"/>
        </w:trPr>
        <w:tc>
          <w:tcPr>
            <w:tcW w:w="1021" w:type="dxa"/>
            <w:tcBorders>
              <w:top w:val="nil"/>
              <w:left w:val="single" w:sz="8"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rPr>
                <w:sz w:val="18"/>
                <w:szCs w:val="18"/>
              </w:rPr>
            </w:pPr>
            <w:r w:rsidRPr="001D7F57">
              <w:rPr>
                <w:sz w:val="18"/>
                <w:szCs w:val="18"/>
              </w:rPr>
              <w:t>50</w:t>
            </w:r>
          </w:p>
        </w:tc>
        <w:tc>
          <w:tcPr>
            <w:tcW w:w="1530" w:type="dxa"/>
            <w:tcBorders>
              <w:top w:val="nil"/>
              <w:left w:val="nil"/>
              <w:bottom w:val="single" w:sz="8" w:space="0" w:color="auto"/>
              <w:right w:val="single" w:sz="4" w:space="0" w:color="auto"/>
            </w:tcBorders>
            <w:vAlign w:val="center"/>
          </w:tcPr>
          <w:p w:rsidR="007600EB" w:rsidRPr="001D7F57" w:rsidRDefault="007600EB" w:rsidP="001D7F57">
            <w:pPr>
              <w:spacing w:before="20" w:after="20"/>
              <w:jc w:val="center"/>
              <w:rPr>
                <w:sz w:val="18"/>
                <w:szCs w:val="18"/>
                <w:lang w:bidi="ar-JO"/>
              </w:rPr>
            </w:pPr>
            <w:r w:rsidRPr="001D7F57">
              <w:rPr>
                <w:sz w:val="18"/>
                <w:szCs w:val="18"/>
                <w:lang w:bidi="ar-JO"/>
              </w:rPr>
              <w:t>HoRules</w:t>
            </w:r>
          </w:p>
        </w:tc>
        <w:tc>
          <w:tcPr>
            <w:tcW w:w="1259" w:type="dxa"/>
            <w:tcBorders>
              <w:top w:val="nil"/>
              <w:left w:val="single" w:sz="4" w:space="0" w:color="auto"/>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color w:val="000000"/>
                <w:sz w:val="18"/>
                <w:szCs w:val="18"/>
              </w:rPr>
            </w:pPr>
            <w:r w:rsidRPr="001D7F57">
              <w:rPr>
                <w:color w:val="000000"/>
                <w:sz w:val="18"/>
                <w:szCs w:val="18"/>
              </w:rPr>
              <w:t>.77</w:t>
            </w:r>
          </w:p>
        </w:tc>
        <w:tc>
          <w:tcPr>
            <w:tcW w:w="1546" w:type="dxa"/>
            <w:tcBorders>
              <w:top w:val="nil"/>
              <w:left w:val="nil"/>
              <w:bottom w:val="single" w:sz="8" w:space="0" w:color="auto"/>
              <w:right w:val="single" w:sz="8" w:space="0" w:color="auto"/>
            </w:tcBorders>
            <w:shd w:val="clear" w:color="auto" w:fill="auto"/>
            <w:noWrap/>
            <w:vAlign w:val="center"/>
          </w:tcPr>
          <w:p w:rsidR="007600EB" w:rsidRPr="001D7F57" w:rsidRDefault="007600EB" w:rsidP="001D7F57">
            <w:pPr>
              <w:spacing w:before="20" w:after="20"/>
              <w:jc w:val="center"/>
              <w:rPr>
                <w:sz w:val="18"/>
                <w:szCs w:val="18"/>
              </w:rPr>
            </w:pPr>
            <w:r w:rsidRPr="001D7F57">
              <w:rPr>
                <w:sz w:val="18"/>
                <w:szCs w:val="18"/>
              </w:rPr>
              <w:t>0.25</w:t>
            </w:r>
          </w:p>
        </w:tc>
      </w:tr>
    </w:tbl>
    <w:p w:rsidR="007600EB" w:rsidRPr="00AD2D23" w:rsidRDefault="001D7F57" w:rsidP="007600EB">
      <w:pPr>
        <w:rPr>
          <w:szCs w:val="22"/>
          <w:lang w:val="en-GB" w:bidi="ar-JO"/>
        </w:rPr>
      </w:pPr>
      <w:r>
        <w:rPr>
          <w:szCs w:val="22"/>
          <w:lang w:val="en-GB" w:bidi="ar-JO"/>
        </w:rPr>
        <w:br/>
      </w:r>
      <w:r w:rsidR="007600EB" w:rsidRPr="00AD2D23">
        <w:rPr>
          <w:szCs w:val="22"/>
          <w:lang w:val="en-GB" w:bidi="ar-JO"/>
        </w:rPr>
        <w:t>Item discriminability refers to the potential of the item in the question to be answered correctly by those students who have a lot of the particular quality that the item is designed to measure, and to be answered incorrectly by those students who have less of the particular quality that the same item is designed to measure. In other word, to check the effectiveness of the test item in showing up differences between a group of flight attendants and to enable us to discriminate between flight attendants' abilities in a given field. However, an item with high discriminability will give the opportunity to see a potentially wide variety of scores on that item; an item with low discriminability will show scores on that item poorly differentiated (Cohen ea al, 2005). Item discriminability will be computed as follows:</w:t>
      </w:r>
    </w:p>
    <w:tbl>
      <w:tblPr>
        <w:tblStyle w:val="TableGrid"/>
        <w:tblW w:w="11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326"/>
        <w:gridCol w:w="375"/>
      </w:tblGrid>
      <w:tr w:rsidR="007F0807" w:rsidTr="001D1190">
        <w:trPr>
          <w:jc w:val="center"/>
        </w:trPr>
        <w:tc>
          <w:tcPr>
            <w:tcW w:w="491" w:type="dxa"/>
          </w:tcPr>
          <w:p w:rsidR="007F0807" w:rsidRDefault="007F0807" w:rsidP="001D7F57">
            <w:pPr>
              <w:spacing w:after="60"/>
              <w:jc w:val="center"/>
              <w:rPr>
                <w:lang w:val="en-GB" w:bidi="ar-JO"/>
              </w:rPr>
            </w:pPr>
            <w:r>
              <w:rPr>
                <w:lang w:val="en-GB" w:bidi="ar-JO"/>
              </w:rPr>
              <w:br w:type="page"/>
              <w:t>A</w:t>
            </w:r>
          </w:p>
        </w:tc>
        <w:tc>
          <w:tcPr>
            <w:tcW w:w="326" w:type="dxa"/>
          </w:tcPr>
          <w:p w:rsidR="007F0807" w:rsidRDefault="007F0807" w:rsidP="001D7F57">
            <w:pPr>
              <w:spacing w:after="60"/>
              <w:jc w:val="center"/>
              <w:rPr>
                <w:lang w:val="en-GB" w:bidi="ar-JO"/>
              </w:rPr>
            </w:pPr>
            <w:r>
              <w:rPr>
                <w:lang w:val="en-GB" w:bidi="ar-JO"/>
              </w:rPr>
              <w:t>-</w:t>
            </w:r>
          </w:p>
        </w:tc>
        <w:tc>
          <w:tcPr>
            <w:tcW w:w="375" w:type="dxa"/>
          </w:tcPr>
          <w:p w:rsidR="007F0807" w:rsidRDefault="007F0807" w:rsidP="001D7F57">
            <w:pPr>
              <w:spacing w:after="60"/>
              <w:jc w:val="center"/>
              <w:rPr>
                <w:lang w:val="en-GB" w:bidi="ar-JO"/>
              </w:rPr>
            </w:pPr>
            <w:r>
              <w:rPr>
                <w:lang w:val="en-GB" w:bidi="ar-JO"/>
              </w:rPr>
              <w:t>B</w:t>
            </w:r>
          </w:p>
        </w:tc>
      </w:tr>
      <w:tr w:rsidR="007F0807" w:rsidTr="001D1190">
        <w:trPr>
          <w:jc w:val="center"/>
        </w:trPr>
        <w:tc>
          <w:tcPr>
            <w:tcW w:w="491" w:type="dxa"/>
          </w:tcPr>
          <w:p w:rsidR="007F0807" w:rsidRDefault="007F0807" w:rsidP="001D7F57">
            <w:pPr>
              <w:spacing w:after="60"/>
              <w:jc w:val="center"/>
              <w:rPr>
                <w:lang w:val="en-GB" w:bidi="ar-JO"/>
              </w:rPr>
            </w:pPr>
            <w:r>
              <w:rPr>
                <w:lang w:val="en-GB" w:bidi="ar-JO"/>
              </w:rPr>
              <w:t>.05</w:t>
            </w:r>
          </w:p>
        </w:tc>
        <w:tc>
          <w:tcPr>
            <w:tcW w:w="326" w:type="dxa"/>
          </w:tcPr>
          <w:p w:rsidR="007F0807" w:rsidRDefault="007F0807" w:rsidP="001D7F57">
            <w:pPr>
              <w:spacing w:after="60"/>
              <w:jc w:val="center"/>
              <w:rPr>
                <w:lang w:val="en-GB" w:bidi="ar-JO"/>
              </w:rPr>
            </w:pPr>
            <w:r>
              <w:rPr>
                <w:lang w:val="en-GB" w:bidi="ar-JO"/>
              </w:rPr>
              <w:t>*</w:t>
            </w:r>
          </w:p>
        </w:tc>
        <w:tc>
          <w:tcPr>
            <w:tcW w:w="375" w:type="dxa"/>
          </w:tcPr>
          <w:p w:rsidR="007F0807" w:rsidRDefault="007F0807" w:rsidP="001D7F57">
            <w:pPr>
              <w:spacing w:after="60"/>
              <w:jc w:val="center"/>
              <w:rPr>
                <w:lang w:val="en-GB" w:bidi="ar-JO"/>
              </w:rPr>
            </w:pPr>
            <w:r>
              <w:rPr>
                <w:lang w:val="en-GB" w:bidi="ar-JO"/>
              </w:rPr>
              <w:t>N</w:t>
            </w:r>
          </w:p>
        </w:tc>
      </w:tr>
    </w:tbl>
    <w:p w:rsidR="007600EB" w:rsidRPr="00AD2D23" w:rsidRDefault="007600EB" w:rsidP="001D7F57">
      <w:pPr>
        <w:spacing w:after="60"/>
        <w:rPr>
          <w:szCs w:val="22"/>
          <w:lang w:val="en-GB" w:bidi="ar-JO"/>
        </w:rPr>
      </w:pPr>
      <w:r w:rsidRPr="00AD2D23">
        <w:rPr>
          <w:szCs w:val="22"/>
          <w:lang w:val="en-GB" w:bidi="ar-JO"/>
        </w:rPr>
        <w:t xml:space="preserve">Where </w:t>
      </w:r>
    </w:p>
    <w:p w:rsidR="007600EB" w:rsidRPr="00AD2D23" w:rsidRDefault="007600EB" w:rsidP="001D7F57">
      <w:pPr>
        <w:spacing w:after="60"/>
        <w:ind w:left="720"/>
        <w:rPr>
          <w:szCs w:val="22"/>
          <w:lang w:val="en-GB" w:bidi="ar-JO"/>
        </w:rPr>
      </w:pPr>
      <w:r w:rsidRPr="00AD2D23">
        <w:rPr>
          <w:szCs w:val="22"/>
          <w:lang w:val="en-GB" w:bidi="ar-JO"/>
        </w:rPr>
        <w:t>A= the number of correct scores from the high scoring group;</w:t>
      </w:r>
    </w:p>
    <w:p w:rsidR="007600EB" w:rsidRPr="00AD2D23" w:rsidRDefault="007600EB" w:rsidP="001D7F57">
      <w:pPr>
        <w:spacing w:after="60"/>
        <w:ind w:left="720"/>
        <w:rPr>
          <w:szCs w:val="22"/>
          <w:lang w:val="en-GB" w:bidi="ar-JO"/>
        </w:rPr>
      </w:pPr>
      <w:r w:rsidRPr="00AD2D23">
        <w:rPr>
          <w:szCs w:val="22"/>
          <w:lang w:val="en-GB" w:bidi="ar-JO"/>
        </w:rPr>
        <w:t>B= the number of correct scores from the low scoring group</w:t>
      </w:r>
    </w:p>
    <w:p w:rsidR="007600EB" w:rsidRPr="00AD2D23" w:rsidRDefault="007600EB" w:rsidP="001D7F57">
      <w:pPr>
        <w:spacing w:after="60"/>
        <w:ind w:left="720"/>
        <w:rPr>
          <w:szCs w:val="22"/>
          <w:lang w:val="en-GB" w:bidi="ar-JO"/>
        </w:rPr>
      </w:pPr>
      <w:r w:rsidRPr="00AD2D23">
        <w:rPr>
          <w:szCs w:val="22"/>
          <w:lang w:val="en-GB" w:bidi="ar-JO"/>
        </w:rPr>
        <w:t>N= the number of students in the two groups</w:t>
      </w:r>
    </w:p>
    <w:p w:rsidR="007600EB" w:rsidRPr="00AD2D23" w:rsidRDefault="007600EB" w:rsidP="007600EB">
      <w:pPr>
        <w:rPr>
          <w:szCs w:val="22"/>
          <w:lang w:val="en-GB" w:bidi="ar-JO"/>
        </w:rPr>
      </w:pPr>
      <w:r w:rsidRPr="00AD2D23">
        <w:rPr>
          <w:szCs w:val="22"/>
          <w:lang w:val="en-GB" w:bidi="ar-JO"/>
        </w:rPr>
        <w:t>The maximum index discriminablity is 1.00. Items with index of less than 0.30 are considered to be too undiscriminating. Thus, it should be reviewed to find out whether this is due to ambiguity in the wording or possible clues in the wording. Items with limited discriminabilty and limited difficult indices will be notified or replaced.</w:t>
      </w:r>
    </w:p>
    <w:p w:rsidR="007600EB" w:rsidRPr="00AD2D23" w:rsidRDefault="007600EB" w:rsidP="007600EB">
      <w:pPr>
        <w:rPr>
          <w:szCs w:val="22"/>
          <w:lang w:val="en-GB" w:bidi="ar-JO"/>
        </w:rPr>
      </w:pPr>
      <w:r w:rsidRPr="00AD2D23">
        <w:rPr>
          <w:szCs w:val="22"/>
          <w:lang w:val="en-GB" w:bidi="ar-JO"/>
        </w:rPr>
        <w:t xml:space="preserve">After all, those items with the greatest discriminability and the most appropriate degrees of difficulty can be retained. Criterion-referenced tests have very low discriminability if all students achieve very well or achieve very poorly, but the discriminablity is less important than the fact that the students have or have not learnt the material. A norm-referenced test would regard such a </w:t>
      </w:r>
      <w:r w:rsidRPr="00AD2D23">
        <w:rPr>
          <w:szCs w:val="22"/>
          <w:lang w:val="en-GB" w:bidi="ar-JO"/>
        </w:rPr>
        <w:lastRenderedPageBreak/>
        <w:t xml:space="preserve">poorly discriminating item as unsuitable for inclusion, where as a criterion-referenced test would regard such an item as providing useful information (Cohen, </w:t>
      </w:r>
      <w:r w:rsidRPr="00AD2D23">
        <w:rPr>
          <w:szCs w:val="22"/>
        </w:rPr>
        <w:t>Manion &amp; Morrison,</w:t>
      </w:r>
      <w:r w:rsidRPr="00AD2D23">
        <w:rPr>
          <w:szCs w:val="22"/>
          <w:lang w:val="en-GB" w:bidi="ar-JO"/>
        </w:rPr>
        <w:t>. 2005).</w:t>
      </w:r>
    </w:p>
    <w:p w:rsidR="007600EB" w:rsidRPr="00AD2D23" w:rsidRDefault="007600EB" w:rsidP="007600EB">
      <w:pPr>
        <w:rPr>
          <w:b/>
          <w:bCs/>
          <w:szCs w:val="22"/>
          <w:lang w:val="en-GB" w:bidi="ar-JO"/>
        </w:rPr>
      </w:pPr>
      <w:r w:rsidRPr="00AD2D23">
        <w:rPr>
          <w:szCs w:val="22"/>
          <w:lang w:val="en-GB" w:bidi="ar-JO"/>
        </w:rPr>
        <w:t>For the current study, discrimination coefficients were ranged from 0.13 to 0.88 as shown in Table 5.3. From the table 12 items appeared to be in the low discrimination category and the test items were reviewed and improved.</w:t>
      </w:r>
    </w:p>
    <w:p w:rsidR="007600EB" w:rsidRDefault="007600EB" w:rsidP="007600EB">
      <w:pPr>
        <w:rPr>
          <w:szCs w:val="22"/>
          <w:lang w:bidi="ar-JO"/>
        </w:rPr>
      </w:pPr>
      <w:r w:rsidRPr="00AD2D23">
        <w:rPr>
          <w:szCs w:val="22"/>
          <w:lang w:bidi="ar-JO"/>
        </w:rPr>
        <w:t xml:space="preserve">The findings revealed that the most difficult items belonged to the category of rules and higher order rules and the presence of better supervision during the learning process generally improved the flight attendants' performance in all categories especially the rules and higher order rules. The average increment for the test items from the formative to summative evaluation were 0.15 or 15% for higher order rules, 0.13 or 13 % for rules, 0.034 or 3.4% for concepts, 0.077 or 7.7 % for discrimination, and 0.006 or 0.6% for verbal Information. This finding suggests that the SIMI package was effective in enhancing intellectual skills and at the levels of rules and higher order rules when administered under proper supervision. </w:t>
      </w:r>
    </w:p>
    <w:p w:rsidR="007600EB" w:rsidRDefault="007600EB" w:rsidP="007F0807">
      <w:pPr>
        <w:pStyle w:val="Heading5"/>
      </w:pPr>
      <w:r w:rsidRPr="0023235F">
        <w:t>Table 4</w:t>
      </w:r>
    </w:p>
    <w:p w:rsidR="007600EB" w:rsidRPr="0023235F" w:rsidRDefault="007600EB" w:rsidP="007F0807">
      <w:pPr>
        <w:pStyle w:val="Heading5"/>
      </w:pPr>
      <w:r w:rsidRPr="0023235F">
        <w:t xml:space="preserve">Performance on SKS and </w:t>
      </w:r>
      <w:r w:rsidR="001D1190">
        <w:t>ot</w:t>
      </w:r>
      <w:r w:rsidRPr="0023235F">
        <w:t xml:space="preserve">her </w:t>
      </w:r>
      <w:r w:rsidR="001D1190">
        <w:t>i</w:t>
      </w:r>
      <w:r w:rsidRPr="0023235F">
        <w:t>nputs</w:t>
      </w:r>
    </w:p>
    <w:tbl>
      <w:tblPr>
        <w:tblW w:w="3999" w:type="pct"/>
        <w:jc w:val="center"/>
        <w:tblBorders>
          <w:top w:val="single" w:sz="8" w:space="0" w:color="000000"/>
          <w:bottom w:val="single" w:sz="8" w:space="0" w:color="000000"/>
        </w:tblBorders>
        <w:tblCellMar>
          <w:left w:w="30" w:type="dxa"/>
          <w:right w:w="30" w:type="dxa"/>
        </w:tblCellMar>
        <w:tblLook w:val="0000" w:firstRow="0" w:lastRow="0" w:firstColumn="0" w:lastColumn="0" w:noHBand="0" w:noVBand="0"/>
      </w:tblPr>
      <w:tblGrid>
        <w:gridCol w:w="1695"/>
        <w:gridCol w:w="1119"/>
        <w:gridCol w:w="1009"/>
        <w:gridCol w:w="1027"/>
        <w:gridCol w:w="1003"/>
        <w:gridCol w:w="25"/>
        <w:gridCol w:w="1032"/>
      </w:tblGrid>
      <w:tr w:rsidR="007600EB" w:rsidRPr="007F0807" w:rsidTr="007F0807">
        <w:trPr>
          <w:cantSplit/>
          <w:trHeight w:val="562"/>
          <w:tblHeader/>
          <w:jc w:val="center"/>
        </w:trPr>
        <w:tc>
          <w:tcPr>
            <w:tcW w:w="1226" w:type="pct"/>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CB6438">
            <w:pPr>
              <w:spacing w:after="60"/>
              <w:jc w:val="center"/>
              <w:rPr>
                <w:rFonts w:ascii="Arial" w:hAnsi="Arial" w:cs="Arial"/>
                <w:sz w:val="18"/>
                <w:szCs w:val="18"/>
                <w:lang w:bidi="ar-JO"/>
              </w:rPr>
            </w:pPr>
          </w:p>
        </w:tc>
        <w:tc>
          <w:tcPr>
            <w:tcW w:w="1540" w:type="pct"/>
            <w:gridSpan w:val="2"/>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CB6438">
            <w:pPr>
              <w:spacing w:after="60"/>
              <w:jc w:val="center"/>
              <w:rPr>
                <w:rFonts w:ascii="Arial" w:hAnsi="Arial" w:cs="Arial"/>
                <w:color w:val="000000"/>
                <w:sz w:val="18"/>
                <w:szCs w:val="18"/>
                <w:lang w:bidi="ar-JO"/>
              </w:rPr>
            </w:pPr>
            <w:r w:rsidRPr="007F0807">
              <w:rPr>
                <w:rFonts w:ascii="Arial" w:hAnsi="Arial" w:cs="Arial"/>
                <w:color w:val="000000"/>
                <w:sz w:val="18"/>
                <w:szCs w:val="18"/>
                <w:lang w:bidi="ar-JO"/>
              </w:rPr>
              <w:t xml:space="preserve">Formative </w:t>
            </w:r>
            <w:r w:rsidR="00CB6438">
              <w:rPr>
                <w:rFonts w:ascii="Arial" w:hAnsi="Arial" w:cs="Arial"/>
                <w:color w:val="000000"/>
                <w:sz w:val="18"/>
                <w:szCs w:val="18"/>
                <w:lang w:bidi="ar-JO"/>
              </w:rPr>
              <w:t>e</w:t>
            </w:r>
            <w:r w:rsidRPr="007F0807">
              <w:rPr>
                <w:rFonts w:ascii="Arial" w:hAnsi="Arial" w:cs="Arial"/>
                <w:color w:val="000000"/>
                <w:sz w:val="18"/>
                <w:szCs w:val="18"/>
                <w:lang w:bidi="ar-JO"/>
              </w:rPr>
              <w:t>valuation</w:t>
            </w:r>
            <w:r w:rsidR="007F0807">
              <w:rPr>
                <w:rFonts w:ascii="Arial" w:hAnsi="Arial" w:cs="Arial"/>
                <w:color w:val="000000"/>
                <w:sz w:val="18"/>
                <w:szCs w:val="18"/>
                <w:lang w:bidi="ar-JO"/>
              </w:rPr>
              <w:br/>
            </w:r>
            <w:r w:rsidRPr="007F0807">
              <w:rPr>
                <w:rFonts w:ascii="Arial" w:hAnsi="Arial" w:cs="Arial"/>
                <w:color w:val="000000"/>
                <w:sz w:val="18"/>
                <w:szCs w:val="18"/>
                <w:lang w:bidi="ar-JO"/>
              </w:rPr>
              <w:t>(n=28)</w:t>
            </w:r>
          </w:p>
        </w:tc>
        <w:tc>
          <w:tcPr>
            <w:tcW w:w="1469" w:type="pct"/>
            <w:gridSpan w:val="2"/>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CB6438">
            <w:pPr>
              <w:spacing w:after="60"/>
              <w:jc w:val="center"/>
              <w:rPr>
                <w:rFonts w:ascii="Arial" w:hAnsi="Arial" w:cs="Arial"/>
                <w:color w:val="000000"/>
                <w:sz w:val="18"/>
                <w:szCs w:val="18"/>
                <w:lang w:bidi="ar-JO"/>
              </w:rPr>
            </w:pPr>
            <w:r w:rsidRPr="007F0807">
              <w:rPr>
                <w:rFonts w:ascii="Arial" w:hAnsi="Arial" w:cs="Arial"/>
                <w:color w:val="000000"/>
                <w:sz w:val="18"/>
                <w:szCs w:val="18"/>
                <w:lang w:bidi="ar-JO"/>
              </w:rPr>
              <w:t xml:space="preserve">Summative </w:t>
            </w:r>
            <w:r w:rsidR="00CB6438">
              <w:rPr>
                <w:rFonts w:ascii="Arial" w:hAnsi="Arial" w:cs="Arial"/>
                <w:color w:val="000000"/>
                <w:sz w:val="18"/>
                <w:szCs w:val="18"/>
                <w:lang w:bidi="ar-JO"/>
              </w:rPr>
              <w:t>e</w:t>
            </w:r>
            <w:r w:rsidRPr="007F0807">
              <w:rPr>
                <w:rFonts w:ascii="Arial" w:hAnsi="Arial" w:cs="Arial"/>
                <w:color w:val="000000"/>
                <w:sz w:val="18"/>
                <w:szCs w:val="18"/>
                <w:lang w:bidi="ar-JO"/>
              </w:rPr>
              <w:t>valuation</w:t>
            </w:r>
            <w:r w:rsidR="007F0807">
              <w:rPr>
                <w:rFonts w:ascii="Arial" w:hAnsi="Arial" w:cs="Arial"/>
                <w:color w:val="000000"/>
                <w:sz w:val="18"/>
                <w:szCs w:val="18"/>
                <w:lang w:bidi="ar-JO"/>
              </w:rPr>
              <w:br/>
            </w:r>
            <w:r w:rsidRPr="007F0807">
              <w:rPr>
                <w:rFonts w:ascii="Arial" w:hAnsi="Arial" w:cs="Arial"/>
                <w:color w:val="000000"/>
                <w:sz w:val="18"/>
                <w:szCs w:val="18"/>
                <w:lang w:bidi="ar-JO"/>
              </w:rPr>
              <w:t>(n=70)</w:t>
            </w:r>
          </w:p>
        </w:tc>
        <w:tc>
          <w:tcPr>
            <w:tcW w:w="765" w:type="pct"/>
            <w:gridSpan w:val="2"/>
            <w:tcBorders>
              <w:top w:val="single" w:sz="8" w:space="0" w:color="000000"/>
              <w:bottom w:val="single" w:sz="8" w:space="0" w:color="000000"/>
            </w:tcBorders>
            <w:shd w:val="clear" w:color="auto" w:fill="FFFFFF"/>
            <w:vAlign w:val="center"/>
          </w:tcPr>
          <w:p w:rsidR="007600EB" w:rsidRPr="007F0807" w:rsidRDefault="007600EB" w:rsidP="001D1190">
            <w:pPr>
              <w:spacing w:after="60"/>
              <w:rPr>
                <w:rFonts w:ascii="Arial" w:hAnsi="Arial" w:cs="Arial"/>
                <w:color w:val="000000"/>
                <w:sz w:val="18"/>
                <w:szCs w:val="18"/>
                <w:lang w:bidi="ar-JO"/>
              </w:rPr>
            </w:pPr>
          </w:p>
        </w:tc>
      </w:tr>
      <w:tr w:rsidR="007600EB" w:rsidRPr="007F0807" w:rsidTr="007F0807">
        <w:trPr>
          <w:cantSplit/>
          <w:trHeight w:val="553"/>
          <w:tblHeader/>
          <w:jc w:val="center"/>
        </w:trPr>
        <w:tc>
          <w:tcPr>
            <w:tcW w:w="1226" w:type="pct"/>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1D1190">
            <w:pPr>
              <w:spacing w:after="60"/>
              <w:rPr>
                <w:rFonts w:ascii="Arial" w:hAnsi="Arial" w:cs="Arial"/>
                <w:sz w:val="18"/>
                <w:szCs w:val="18"/>
                <w:lang w:bidi="ar-JO"/>
              </w:rPr>
            </w:pPr>
          </w:p>
        </w:tc>
        <w:tc>
          <w:tcPr>
            <w:tcW w:w="810" w:type="pct"/>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1D1190">
            <w:pPr>
              <w:spacing w:after="60"/>
              <w:rPr>
                <w:rFonts w:ascii="Arial" w:hAnsi="Arial" w:cs="Arial"/>
                <w:color w:val="000000"/>
                <w:sz w:val="18"/>
                <w:szCs w:val="18"/>
              </w:rPr>
            </w:pPr>
            <w:r w:rsidRPr="007F0807">
              <w:rPr>
                <w:rFonts w:ascii="Arial" w:hAnsi="Arial" w:cs="Arial"/>
                <w:color w:val="000000"/>
                <w:sz w:val="18"/>
                <w:szCs w:val="18"/>
              </w:rPr>
              <w:t>Mean</w:t>
            </w:r>
          </w:p>
        </w:tc>
        <w:tc>
          <w:tcPr>
            <w:tcW w:w="730" w:type="pct"/>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1D1190">
            <w:pPr>
              <w:spacing w:after="60"/>
              <w:rPr>
                <w:rFonts w:ascii="Arial" w:hAnsi="Arial" w:cs="Arial"/>
                <w:color w:val="000000"/>
                <w:sz w:val="18"/>
                <w:szCs w:val="18"/>
              </w:rPr>
            </w:pPr>
            <w:r w:rsidRPr="007F0807">
              <w:rPr>
                <w:rFonts w:ascii="Arial" w:hAnsi="Arial" w:cs="Arial"/>
                <w:color w:val="000000"/>
                <w:sz w:val="18"/>
                <w:szCs w:val="18"/>
              </w:rPr>
              <w:t>Std. Deviation</w:t>
            </w:r>
          </w:p>
        </w:tc>
        <w:tc>
          <w:tcPr>
            <w:tcW w:w="743" w:type="pct"/>
            <w:tcBorders>
              <w:top w:val="single" w:sz="8" w:space="0" w:color="000000"/>
              <w:bottom w:val="single" w:sz="8" w:space="0" w:color="000000"/>
            </w:tcBorders>
            <w:shd w:val="clear" w:color="auto" w:fill="FFFFFF"/>
            <w:vAlign w:val="center"/>
          </w:tcPr>
          <w:p w:rsidR="007600EB" w:rsidRPr="007F0807" w:rsidRDefault="007600EB" w:rsidP="001D1190">
            <w:pPr>
              <w:spacing w:after="60"/>
              <w:rPr>
                <w:rFonts w:ascii="Arial" w:hAnsi="Arial" w:cs="Arial"/>
                <w:color w:val="000000"/>
                <w:sz w:val="18"/>
                <w:szCs w:val="18"/>
              </w:rPr>
            </w:pPr>
            <w:r w:rsidRPr="007F0807">
              <w:rPr>
                <w:rFonts w:ascii="Arial" w:hAnsi="Arial" w:cs="Arial"/>
                <w:color w:val="000000"/>
                <w:sz w:val="18"/>
                <w:szCs w:val="18"/>
              </w:rPr>
              <w:t>Mean</w:t>
            </w:r>
          </w:p>
        </w:tc>
        <w:tc>
          <w:tcPr>
            <w:tcW w:w="744" w:type="pct"/>
            <w:gridSpan w:val="2"/>
            <w:tcBorders>
              <w:top w:val="single" w:sz="8" w:space="0" w:color="000000"/>
              <w:bottom w:val="single" w:sz="8" w:space="0" w:color="000000"/>
            </w:tcBorders>
            <w:shd w:val="clear" w:color="auto" w:fill="FFFFFF"/>
            <w:tcMar>
              <w:top w:w="30" w:type="dxa"/>
              <w:left w:w="30" w:type="dxa"/>
              <w:bottom w:w="30" w:type="dxa"/>
              <w:right w:w="30" w:type="dxa"/>
            </w:tcMar>
            <w:vAlign w:val="center"/>
          </w:tcPr>
          <w:p w:rsidR="007600EB" w:rsidRPr="007F0807" w:rsidRDefault="007600EB" w:rsidP="001D1190">
            <w:pPr>
              <w:spacing w:after="60"/>
              <w:rPr>
                <w:rFonts w:ascii="Arial" w:hAnsi="Arial" w:cs="Arial"/>
                <w:color w:val="000000"/>
                <w:sz w:val="18"/>
                <w:szCs w:val="18"/>
              </w:rPr>
            </w:pPr>
            <w:r w:rsidRPr="007F0807">
              <w:rPr>
                <w:rFonts w:ascii="Arial" w:hAnsi="Arial" w:cs="Arial"/>
                <w:color w:val="000000"/>
                <w:sz w:val="18"/>
                <w:szCs w:val="18"/>
              </w:rPr>
              <w:t>Std. Deviation</w:t>
            </w:r>
          </w:p>
        </w:tc>
        <w:tc>
          <w:tcPr>
            <w:tcW w:w="748" w:type="pct"/>
            <w:tcBorders>
              <w:top w:val="single" w:sz="8" w:space="0" w:color="000000"/>
              <w:bottom w:val="single" w:sz="8" w:space="0" w:color="000000"/>
            </w:tcBorders>
            <w:shd w:val="clear" w:color="auto" w:fill="FFFFFF"/>
            <w:vAlign w:val="center"/>
          </w:tcPr>
          <w:p w:rsidR="007600EB" w:rsidRPr="007F0807" w:rsidRDefault="007600EB" w:rsidP="001D1190">
            <w:pPr>
              <w:spacing w:after="60"/>
              <w:rPr>
                <w:rFonts w:ascii="Arial" w:hAnsi="Arial" w:cs="Arial"/>
                <w:color w:val="000000"/>
                <w:sz w:val="18"/>
                <w:szCs w:val="18"/>
                <w:lang w:bidi="ar-JO"/>
              </w:rPr>
            </w:pPr>
            <w:r w:rsidRPr="007F0807">
              <w:rPr>
                <w:rFonts w:ascii="Arial" w:hAnsi="Arial" w:cs="Arial"/>
                <w:color w:val="000000"/>
                <w:sz w:val="18"/>
                <w:szCs w:val="18"/>
                <w:lang w:bidi="ar-JO"/>
              </w:rPr>
              <w:t>Mean Gain</w:t>
            </w:r>
          </w:p>
        </w:tc>
      </w:tr>
      <w:tr w:rsidR="007600EB" w:rsidRPr="00E368EF" w:rsidTr="007600EB">
        <w:trPr>
          <w:cantSplit/>
          <w:trHeight w:val="314"/>
          <w:tblHeader/>
          <w:jc w:val="center"/>
        </w:trPr>
        <w:tc>
          <w:tcPr>
            <w:tcW w:w="1226" w:type="pct"/>
            <w:tcBorders>
              <w:top w:val="single" w:sz="8" w:space="0" w:color="000000"/>
            </w:tcBorders>
            <w:shd w:val="clear" w:color="auto" w:fill="FFFFFF"/>
            <w:tcMar>
              <w:top w:w="30" w:type="dxa"/>
              <w:left w:w="30" w:type="dxa"/>
              <w:bottom w:w="30" w:type="dxa"/>
              <w:right w:w="30" w:type="dxa"/>
            </w:tcMar>
          </w:tcPr>
          <w:p w:rsidR="007600EB" w:rsidRPr="00E368EF" w:rsidRDefault="007600EB" w:rsidP="001D1190">
            <w:pPr>
              <w:spacing w:after="60"/>
              <w:rPr>
                <w:color w:val="000000"/>
                <w:sz w:val="20"/>
                <w:lang w:bidi="ar-JO"/>
              </w:rPr>
            </w:pPr>
            <w:r w:rsidRPr="00E368EF">
              <w:rPr>
                <w:color w:val="000000"/>
                <w:sz w:val="20"/>
              </w:rPr>
              <w:t>Discrimination</w:t>
            </w:r>
          </w:p>
        </w:tc>
        <w:tc>
          <w:tcPr>
            <w:tcW w:w="810" w:type="pct"/>
            <w:tcBorders>
              <w:top w:val="single" w:sz="8" w:space="0" w:color="000000"/>
            </w:tcBorders>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8.00</w:t>
            </w:r>
          </w:p>
        </w:tc>
        <w:tc>
          <w:tcPr>
            <w:tcW w:w="730" w:type="pct"/>
            <w:tcBorders>
              <w:top w:val="single" w:sz="8" w:space="0" w:color="000000"/>
            </w:tcBorders>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2.404</w:t>
            </w:r>
          </w:p>
        </w:tc>
        <w:tc>
          <w:tcPr>
            <w:tcW w:w="743" w:type="pct"/>
            <w:tcBorders>
              <w:top w:val="single" w:sz="8" w:space="0" w:color="000000"/>
            </w:tcBorders>
            <w:shd w:val="clear" w:color="auto" w:fill="FFFFFF"/>
          </w:tcPr>
          <w:p w:rsidR="007600EB" w:rsidRPr="00E368EF" w:rsidRDefault="007600EB" w:rsidP="001D1190">
            <w:pPr>
              <w:spacing w:after="60"/>
              <w:rPr>
                <w:color w:val="000000"/>
                <w:sz w:val="20"/>
              </w:rPr>
            </w:pPr>
            <w:r w:rsidRPr="00E368EF">
              <w:rPr>
                <w:color w:val="000000"/>
                <w:sz w:val="20"/>
              </w:rPr>
              <w:t>10.03</w:t>
            </w:r>
          </w:p>
        </w:tc>
        <w:tc>
          <w:tcPr>
            <w:tcW w:w="744" w:type="pct"/>
            <w:gridSpan w:val="2"/>
            <w:tcBorders>
              <w:top w:val="single" w:sz="8" w:space="0" w:color="000000"/>
            </w:tcBorders>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1.18</w:t>
            </w:r>
          </w:p>
        </w:tc>
        <w:tc>
          <w:tcPr>
            <w:tcW w:w="748" w:type="pct"/>
            <w:tcBorders>
              <w:top w:val="single" w:sz="8" w:space="0" w:color="000000"/>
            </w:tcBorders>
            <w:shd w:val="clear" w:color="auto" w:fill="FFFFFF"/>
          </w:tcPr>
          <w:p w:rsidR="007600EB" w:rsidRPr="00E368EF" w:rsidRDefault="007600EB" w:rsidP="001D1190">
            <w:pPr>
              <w:spacing w:after="60"/>
              <w:rPr>
                <w:color w:val="000000"/>
                <w:sz w:val="20"/>
                <w:lang w:bidi="ar-JO"/>
              </w:rPr>
            </w:pPr>
            <w:r w:rsidRPr="00E368EF">
              <w:rPr>
                <w:color w:val="000000"/>
                <w:sz w:val="20"/>
                <w:lang w:bidi="ar-JO"/>
              </w:rPr>
              <w:t>+2.03</w:t>
            </w:r>
          </w:p>
        </w:tc>
      </w:tr>
      <w:tr w:rsidR="007600EB" w:rsidRPr="00E368EF" w:rsidTr="007600EB">
        <w:trPr>
          <w:cantSplit/>
          <w:trHeight w:val="329"/>
          <w:tblHeader/>
          <w:jc w:val="center"/>
        </w:trPr>
        <w:tc>
          <w:tcPr>
            <w:tcW w:w="1226"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Concepts</w:t>
            </w:r>
          </w:p>
        </w:tc>
        <w:tc>
          <w:tcPr>
            <w:tcW w:w="81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3.64</w:t>
            </w:r>
          </w:p>
        </w:tc>
        <w:tc>
          <w:tcPr>
            <w:tcW w:w="73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1.22</w:t>
            </w:r>
          </w:p>
        </w:tc>
        <w:tc>
          <w:tcPr>
            <w:tcW w:w="743" w:type="pct"/>
            <w:shd w:val="clear" w:color="auto" w:fill="FFFFFF"/>
          </w:tcPr>
          <w:p w:rsidR="007600EB" w:rsidRPr="00E368EF" w:rsidRDefault="007600EB" w:rsidP="001D1190">
            <w:pPr>
              <w:spacing w:after="60"/>
              <w:rPr>
                <w:color w:val="000000"/>
                <w:sz w:val="20"/>
              </w:rPr>
            </w:pPr>
            <w:r w:rsidRPr="00E368EF">
              <w:rPr>
                <w:color w:val="000000"/>
                <w:sz w:val="20"/>
              </w:rPr>
              <w:t>4.57</w:t>
            </w:r>
          </w:p>
        </w:tc>
        <w:tc>
          <w:tcPr>
            <w:tcW w:w="744" w:type="pct"/>
            <w:gridSpan w:val="2"/>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.76</w:t>
            </w:r>
          </w:p>
        </w:tc>
        <w:tc>
          <w:tcPr>
            <w:tcW w:w="748" w:type="pct"/>
            <w:shd w:val="clear" w:color="auto" w:fill="FFFFFF"/>
          </w:tcPr>
          <w:p w:rsidR="007600EB" w:rsidRPr="00E368EF" w:rsidRDefault="007600EB" w:rsidP="001D1190">
            <w:pPr>
              <w:spacing w:after="60"/>
              <w:rPr>
                <w:color w:val="000000"/>
                <w:sz w:val="20"/>
                <w:lang w:bidi="ar-JO"/>
              </w:rPr>
            </w:pPr>
            <w:r w:rsidRPr="00E368EF">
              <w:rPr>
                <w:color w:val="000000"/>
                <w:sz w:val="20"/>
                <w:lang w:bidi="ar-JO"/>
              </w:rPr>
              <w:t>+0.93</w:t>
            </w:r>
          </w:p>
        </w:tc>
      </w:tr>
      <w:tr w:rsidR="007600EB" w:rsidRPr="00E368EF" w:rsidTr="007600EB">
        <w:trPr>
          <w:cantSplit/>
          <w:trHeight w:val="314"/>
          <w:tblHeader/>
          <w:jc w:val="center"/>
        </w:trPr>
        <w:tc>
          <w:tcPr>
            <w:tcW w:w="1226"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tl/>
                <w:lang w:bidi="ar-JO"/>
              </w:rPr>
            </w:pPr>
            <w:r w:rsidRPr="00E368EF">
              <w:rPr>
                <w:color w:val="000000"/>
                <w:sz w:val="20"/>
              </w:rPr>
              <w:t>Rules</w:t>
            </w:r>
          </w:p>
        </w:tc>
        <w:tc>
          <w:tcPr>
            <w:tcW w:w="81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5.57</w:t>
            </w:r>
          </w:p>
        </w:tc>
        <w:tc>
          <w:tcPr>
            <w:tcW w:w="73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2.63</w:t>
            </w:r>
          </w:p>
        </w:tc>
        <w:tc>
          <w:tcPr>
            <w:tcW w:w="743" w:type="pct"/>
            <w:shd w:val="clear" w:color="auto" w:fill="FFFFFF"/>
          </w:tcPr>
          <w:p w:rsidR="007600EB" w:rsidRPr="00E368EF" w:rsidRDefault="007600EB" w:rsidP="001D1190">
            <w:pPr>
              <w:spacing w:after="60"/>
              <w:rPr>
                <w:color w:val="000000"/>
                <w:sz w:val="20"/>
              </w:rPr>
            </w:pPr>
            <w:r w:rsidRPr="00E368EF">
              <w:rPr>
                <w:color w:val="000000"/>
                <w:sz w:val="20"/>
              </w:rPr>
              <w:t>8.96</w:t>
            </w:r>
          </w:p>
        </w:tc>
        <w:tc>
          <w:tcPr>
            <w:tcW w:w="744" w:type="pct"/>
            <w:gridSpan w:val="2"/>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1.04</w:t>
            </w:r>
          </w:p>
        </w:tc>
        <w:tc>
          <w:tcPr>
            <w:tcW w:w="748" w:type="pct"/>
            <w:shd w:val="clear" w:color="auto" w:fill="FFFFFF"/>
          </w:tcPr>
          <w:p w:rsidR="007600EB" w:rsidRPr="00E368EF" w:rsidRDefault="007600EB" w:rsidP="001D1190">
            <w:pPr>
              <w:spacing w:after="60"/>
              <w:rPr>
                <w:color w:val="000000"/>
                <w:sz w:val="20"/>
                <w:lang w:bidi="ar-JO"/>
              </w:rPr>
            </w:pPr>
            <w:r w:rsidRPr="00E368EF">
              <w:rPr>
                <w:color w:val="000000"/>
                <w:sz w:val="20"/>
                <w:lang w:bidi="ar-JO"/>
              </w:rPr>
              <w:t>+3.39</w:t>
            </w:r>
          </w:p>
        </w:tc>
      </w:tr>
      <w:tr w:rsidR="007600EB" w:rsidRPr="00E368EF" w:rsidTr="007600EB">
        <w:trPr>
          <w:cantSplit/>
          <w:trHeight w:val="314"/>
          <w:tblHeader/>
          <w:jc w:val="center"/>
        </w:trPr>
        <w:tc>
          <w:tcPr>
            <w:tcW w:w="1226"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tl/>
                <w:lang w:bidi="ar-JO"/>
              </w:rPr>
            </w:pPr>
            <w:r w:rsidRPr="00E368EF">
              <w:rPr>
                <w:color w:val="000000"/>
                <w:sz w:val="20"/>
              </w:rPr>
              <w:t>HO Rules</w:t>
            </w:r>
          </w:p>
        </w:tc>
        <w:tc>
          <w:tcPr>
            <w:tcW w:w="81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5.29</w:t>
            </w:r>
          </w:p>
        </w:tc>
        <w:tc>
          <w:tcPr>
            <w:tcW w:w="73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3.10</w:t>
            </w:r>
          </w:p>
        </w:tc>
        <w:tc>
          <w:tcPr>
            <w:tcW w:w="743" w:type="pct"/>
            <w:shd w:val="clear" w:color="auto" w:fill="FFFFFF"/>
          </w:tcPr>
          <w:p w:rsidR="007600EB" w:rsidRPr="00E368EF" w:rsidRDefault="007600EB" w:rsidP="001D1190">
            <w:pPr>
              <w:spacing w:after="60"/>
              <w:rPr>
                <w:color w:val="000000"/>
                <w:sz w:val="20"/>
              </w:rPr>
            </w:pPr>
            <w:r w:rsidRPr="00E368EF">
              <w:rPr>
                <w:color w:val="000000"/>
                <w:sz w:val="20"/>
              </w:rPr>
              <w:t>11.24</w:t>
            </w:r>
          </w:p>
        </w:tc>
        <w:tc>
          <w:tcPr>
            <w:tcW w:w="744" w:type="pct"/>
            <w:gridSpan w:val="2"/>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1.45</w:t>
            </w:r>
          </w:p>
        </w:tc>
        <w:tc>
          <w:tcPr>
            <w:tcW w:w="748" w:type="pct"/>
            <w:shd w:val="clear" w:color="auto" w:fill="FFFFFF"/>
          </w:tcPr>
          <w:p w:rsidR="007600EB" w:rsidRPr="00E368EF" w:rsidRDefault="007600EB" w:rsidP="001D1190">
            <w:pPr>
              <w:spacing w:after="60"/>
              <w:rPr>
                <w:color w:val="000000"/>
                <w:sz w:val="20"/>
                <w:lang w:bidi="ar-JO"/>
              </w:rPr>
            </w:pPr>
            <w:r w:rsidRPr="00E368EF">
              <w:rPr>
                <w:color w:val="000000"/>
                <w:sz w:val="20"/>
                <w:lang w:bidi="ar-JO"/>
              </w:rPr>
              <w:t>+5.95</w:t>
            </w:r>
          </w:p>
        </w:tc>
      </w:tr>
      <w:tr w:rsidR="007600EB" w:rsidRPr="00E368EF" w:rsidTr="007600EB">
        <w:trPr>
          <w:cantSplit/>
          <w:trHeight w:val="329"/>
          <w:tblHeader/>
          <w:jc w:val="center"/>
        </w:trPr>
        <w:tc>
          <w:tcPr>
            <w:tcW w:w="1226"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tl/>
                <w:lang w:bidi="ar-JO"/>
              </w:rPr>
            </w:pPr>
            <w:r w:rsidRPr="00E368EF">
              <w:rPr>
                <w:color w:val="000000"/>
                <w:sz w:val="20"/>
              </w:rPr>
              <w:t>Verbal_Info</w:t>
            </w:r>
          </w:p>
        </w:tc>
        <w:tc>
          <w:tcPr>
            <w:tcW w:w="81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6.75</w:t>
            </w:r>
          </w:p>
        </w:tc>
        <w:tc>
          <w:tcPr>
            <w:tcW w:w="730" w:type="pct"/>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1.99</w:t>
            </w:r>
          </w:p>
        </w:tc>
        <w:tc>
          <w:tcPr>
            <w:tcW w:w="743" w:type="pct"/>
            <w:shd w:val="clear" w:color="auto" w:fill="FFFFFF"/>
          </w:tcPr>
          <w:p w:rsidR="007600EB" w:rsidRPr="00E368EF" w:rsidRDefault="007600EB" w:rsidP="001D1190">
            <w:pPr>
              <w:spacing w:after="60"/>
              <w:rPr>
                <w:color w:val="000000"/>
                <w:sz w:val="20"/>
              </w:rPr>
            </w:pPr>
            <w:r w:rsidRPr="00E368EF">
              <w:rPr>
                <w:color w:val="000000"/>
                <w:sz w:val="20"/>
              </w:rPr>
              <w:t>10.04</w:t>
            </w:r>
          </w:p>
        </w:tc>
        <w:tc>
          <w:tcPr>
            <w:tcW w:w="744" w:type="pct"/>
            <w:gridSpan w:val="2"/>
            <w:shd w:val="clear" w:color="auto" w:fill="FFFFFF"/>
            <w:tcMar>
              <w:top w:w="30" w:type="dxa"/>
              <w:left w:w="30" w:type="dxa"/>
              <w:bottom w:w="30" w:type="dxa"/>
              <w:right w:w="30" w:type="dxa"/>
            </w:tcMar>
          </w:tcPr>
          <w:p w:rsidR="007600EB" w:rsidRPr="00E368EF" w:rsidRDefault="007600EB" w:rsidP="001D1190">
            <w:pPr>
              <w:spacing w:after="60"/>
              <w:rPr>
                <w:color w:val="000000"/>
                <w:sz w:val="20"/>
              </w:rPr>
            </w:pPr>
            <w:r w:rsidRPr="00E368EF">
              <w:rPr>
                <w:color w:val="000000"/>
                <w:sz w:val="20"/>
              </w:rPr>
              <w:t>1.36</w:t>
            </w:r>
          </w:p>
        </w:tc>
        <w:tc>
          <w:tcPr>
            <w:tcW w:w="748" w:type="pct"/>
            <w:shd w:val="clear" w:color="auto" w:fill="FFFFFF"/>
          </w:tcPr>
          <w:p w:rsidR="007600EB" w:rsidRPr="00E368EF" w:rsidRDefault="007600EB" w:rsidP="001D1190">
            <w:pPr>
              <w:spacing w:after="60"/>
              <w:rPr>
                <w:color w:val="000000"/>
                <w:sz w:val="20"/>
                <w:lang w:bidi="ar-JO"/>
              </w:rPr>
            </w:pPr>
            <w:r w:rsidRPr="00E368EF">
              <w:rPr>
                <w:color w:val="000000"/>
                <w:sz w:val="20"/>
                <w:lang w:bidi="ar-JO"/>
              </w:rPr>
              <w:t>+3.29</w:t>
            </w:r>
          </w:p>
        </w:tc>
      </w:tr>
    </w:tbl>
    <w:p w:rsidR="007600EB" w:rsidRPr="00AD2D23" w:rsidRDefault="007600EB" w:rsidP="007600EB">
      <w:pPr>
        <w:rPr>
          <w:szCs w:val="22"/>
        </w:rPr>
      </w:pPr>
      <w:r w:rsidRPr="00AD2D23">
        <w:rPr>
          <w:szCs w:val="22"/>
        </w:rPr>
        <w:t xml:space="preserve">The findings indicated that performance of the flight attendants improved in two ways under supervision of the crew supervisors. The mean scores increased for all intellectual skills and increased by 1 point for concept to 6 points for higher order rules. Secondly, the standard deviation values for each intellectual skill were reduced to reflect consistency of performance.  </w:t>
      </w:r>
    </w:p>
    <w:p w:rsidR="007600EB" w:rsidRPr="00F60484" w:rsidRDefault="007600EB" w:rsidP="003E7D5E">
      <w:pPr>
        <w:pStyle w:val="Heading7"/>
      </w:pPr>
      <w:r w:rsidRPr="00F60484">
        <w:t>Discussion</w:t>
      </w:r>
    </w:p>
    <w:p w:rsidR="007600EB" w:rsidRPr="00AD2D23" w:rsidRDefault="007600EB" w:rsidP="007600EB">
      <w:pPr>
        <w:rPr>
          <w:szCs w:val="22"/>
        </w:rPr>
      </w:pPr>
      <w:r w:rsidRPr="00AD2D23">
        <w:rPr>
          <w:szCs w:val="22"/>
        </w:rPr>
        <w:t>The package has met the usability requirements and was easy and intuitive which reflected the effectiveness of the Package (Lund, 2001)</w:t>
      </w:r>
      <w:r w:rsidRPr="00AD2D23">
        <w:rPr>
          <w:szCs w:val="22"/>
          <w:lang w:bidi="ar-JO"/>
        </w:rPr>
        <w:t xml:space="preserve">. The SIMI suggests that the SIMI package was effective in enhancing intellectual skills and at the levels of rules and higher order rules when administered under proper supervision. Supervision is meant as a </w:t>
      </w:r>
      <w:r w:rsidRPr="00AD2D23">
        <w:rPr>
          <w:szCs w:val="22"/>
        </w:rPr>
        <w:t>preplanning to assure readiness of flight attendants which could have enhanced flight attendants performance (Koreltz-Elliott, 1989). There are small and large differences between the pilot and posttest for the intellectual skills items. SIMI improved performance in all intellectual skills category and improved consistency of performance.</w:t>
      </w:r>
    </w:p>
    <w:p w:rsidR="00FB2F59" w:rsidRDefault="00FB2F59">
      <w:pPr>
        <w:spacing w:before="0" w:after="0"/>
        <w:rPr>
          <w:rFonts w:ascii="Arial" w:hAnsi="Arial"/>
          <w:b/>
          <w:szCs w:val="24"/>
          <w:lang w:eastAsia="es-ES"/>
        </w:rPr>
      </w:pPr>
      <w:r>
        <w:br w:type="page"/>
      </w:r>
    </w:p>
    <w:p w:rsidR="007600EB" w:rsidRPr="00F60484" w:rsidRDefault="007600EB" w:rsidP="003E7D5E">
      <w:pPr>
        <w:pStyle w:val="Heading7"/>
      </w:pPr>
      <w:r w:rsidRPr="00F60484">
        <w:lastRenderedPageBreak/>
        <w:t>Conclusion</w:t>
      </w:r>
    </w:p>
    <w:p w:rsidR="007600EB" w:rsidRPr="00F60484" w:rsidRDefault="007600EB" w:rsidP="003E7D5E">
      <w:pPr>
        <w:pStyle w:val="Heading4"/>
      </w:pPr>
      <w:r w:rsidRPr="00F60484">
        <w:t xml:space="preserve">Summary and </w:t>
      </w:r>
      <w:r w:rsidR="00CB6438">
        <w:t>r</w:t>
      </w:r>
      <w:r w:rsidRPr="00F60484">
        <w:t>ecommendation</w:t>
      </w:r>
    </w:p>
    <w:p w:rsidR="007600EB" w:rsidRPr="00AD2D23" w:rsidRDefault="007600EB" w:rsidP="007600EB">
      <w:pPr>
        <w:rPr>
          <w:szCs w:val="22"/>
        </w:rPr>
      </w:pPr>
      <w:r w:rsidRPr="00AD2D23">
        <w:rPr>
          <w:szCs w:val="22"/>
        </w:rPr>
        <w:t>Systematic design improved performance and consistency of performance</w:t>
      </w:r>
      <w:r w:rsidR="00CB6438">
        <w:rPr>
          <w:szCs w:val="22"/>
        </w:rPr>
        <w:t>,</w:t>
      </w:r>
      <w:r w:rsidRPr="00AD2D23">
        <w:rPr>
          <w:szCs w:val="22"/>
        </w:rPr>
        <w:t xml:space="preserve"> especially for problem solving. Gagne's hierarchical learning and events of instruction are recommended for designing training packages. The administration of the SIMI package must be under supervision of the management. This method should be developed to support continuous professional development (CPD) among flight attendants.</w:t>
      </w:r>
    </w:p>
    <w:p w:rsidR="007600EB" w:rsidRPr="00AD2D23" w:rsidRDefault="007600EB" w:rsidP="007600EB">
      <w:pPr>
        <w:rPr>
          <w:szCs w:val="22"/>
        </w:rPr>
      </w:pPr>
      <w:r w:rsidRPr="00AD2D23">
        <w:rPr>
          <w:szCs w:val="22"/>
        </w:rPr>
        <w:t xml:space="preserve">This paper does not make comparison with current methods of training because of the lack of these methods. Rather it proposes new approach of training flight attendants. Thus, due to the urgent need to improve the safety knowledge and skills training provided to flight attendants, this conceptual paper introduces systematic interactive multimedia instruction (SIMI) following </w:t>
      </w:r>
      <w:r w:rsidR="00CB6438">
        <w:rPr>
          <w:szCs w:val="22"/>
        </w:rPr>
        <w:t xml:space="preserve">the </w:t>
      </w:r>
      <w:r w:rsidRPr="00AD2D23">
        <w:rPr>
          <w:szCs w:val="22"/>
        </w:rPr>
        <w:t>Dick and Carey model of systematic instructional design for training flight attendants just before they conduct their pre-flight briefing before each flight. This SIMI could be delivered through CBT and is based on the events of instruction by Gagne, which has been proved capable of transforming novice to experts.</w:t>
      </w:r>
      <w:r w:rsidR="00FB2F59">
        <w:rPr>
          <w:szCs w:val="22"/>
        </w:rPr>
        <w:br/>
      </w:r>
    </w:p>
    <w:p w:rsidR="007600EB" w:rsidRPr="006D49CA" w:rsidRDefault="007600EB" w:rsidP="003E7D5E">
      <w:pPr>
        <w:pStyle w:val="Heading7"/>
        <w:rPr>
          <w:lang w:bidi="ar-JO"/>
        </w:rPr>
      </w:pPr>
      <w:r>
        <w:t>R</w:t>
      </w:r>
      <w:r w:rsidRPr="006D49CA">
        <w:t>eferences</w:t>
      </w:r>
    </w:p>
    <w:p w:rsidR="007600EB" w:rsidRDefault="007600EB" w:rsidP="007600EB">
      <w:pPr>
        <w:ind w:left="720" w:hanging="720"/>
        <w:rPr>
          <w:sz w:val="20"/>
        </w:rPr>
      </w:pPr>
      <w:r w:rsidRPr="004F08D1">
        <w:rPr>
          <w:sz w:val="20"/>
        </w:rPr>
        <w:t>Bani-Salameh, Z., Abbas, M., Kabilan, M., Mei, L. &amp; Bani-Salameh, L. (2009). Perceptions of safety</w:t>
      </w:r>
      <w:r w:rsidRPr="004F08D1">
        <w:t xml:space="preserve"> </w:t>
      </w:r>
      <w:r w:rsidRPr="004F08D1">
        <w:rPr>
          <w:sz w:val="20"/>
        </w:rPr>
        <w:t xml:space="preserve">knowledge and skills among flight attendants and supervisors. </w:t>
      </w:r>
      <w:r w:rsidRPr="004F08D1">
        <w:rPr>
          <w:i/>
          <w:iCs/>
          <w:sz w:val="20"/>
        </w:rPr>
        <w:t>Symposium of USM Fellowship Holders 2009, USM University, Institute of p</w:t>
      </w:r>
      <w:r>
        <w:rPr>
          <w:i/>
          <w:iCs/>
          <w:sz w:val="20"/>
        </w:rPr>
        <w:t>os</w:t>
      </w:r>
      <w:r w:rsidRPr="004F08D1">
        <w:rPr>
          <w:i/>
          <w:iCs/>
          <w:sz w:val="20"/>
        </w:rPr>
        <w:t>tgraduate Studies</w:t>
      </w:r>
      <w:r w:rsidRPr="004F08D1">
        <w:rPr>
          <w:sz w:val="20"/>
        </w:rPr>
        <w:t>. ISBN 978-967-5417-48-1.</w:t>
      </w:r>
    </w:p>
    <w:p w:rsidR="007600EB" w:rsidRDefault="007600EB" w:rsidP="007600EB">
      <w:pPr>
        <w:ind w:left="720" w:hanging="720"/>
        <w:rPr>
          <w:sz w:val="20"/>
        </w:rPr>
      </w:pPr>
      <w:r w:rsidRPr="004F08D1">
        <w:rPr>
          <w:sz w:val="20"/>
        </w:rPr>
        <w:t xml:space="preserve">Bani-Salameh, Z., Abbas, M. and Bani-Salameh, L. (2010a). Optimizing flight attendants safety knowledge and skills can enhance crew resource management. </w:t>
      </w:r>
      <w:r w:rsidRPr="004F08D1">
        <w:rPr>
          <w:i/>
          <w:iCs/>
          <w:sz w:val="20"/>
        </w:rPr>
        <w:t>Flight Safety Foundation: AeroSafety World</w:t>
      </w:r>
      <w:r w:rsidRPr="004F08D1">
        <w:rPr>
          <w:sz w:val="20"/>
        </w:rPr>
        <w:t xml:space="preserve">, </w:t>
      </w:r>
      <w:r w:rsidRPr="004F08D1">
        <w:rPr>
          <w:i/>
          <w:iCs/>
          <w:sz w:val="20"/>
        </w:rPr>
        <w:t xml:space="preserve">July </w:t>
      </w:r>
      <w:r w:rsidRPr="004F08D1">
        <w:rPr>
          <w:sz w:val="20"/>
        </w:rPr>
        <w:t>2010. PP 44-47.</w:t>
      </w:r>
    </w:p>
    <w:p w:rsidR="007600EB" w:rsidRDefault="007600EB" w:rsidP="007600EB">
      <w:pPr>
        <w:ind w:left="720" w:hanging="720"/>
        <w:rPr>
          <w:sz w:val="20"/>
        </w:rPr>
      </w:pPr>
      <w:r w:rsidRPr="004F08D1">
        <w:rPr>
          <w:sz w:val="20"/>
        </w:rPr>
        <w:t xml:space="preserve">Bani-Salameh, Z., Kabilan, M. and Bani-Salameh, L. (2010b). Utilizing multimedia ESP program in measuring flight attendants’ safety knowledge and problem solving skills. </w:t>
      </w:r>
      <w:r w:rsidRPr="004F08D1">
        <w:rPr>
          <w:i/>
          <w:iCs/>
          <w:sz w:val="20"/>
        </w:rPr>
        <w:t>British Journal of Educational Technology.</w:t>
      </w:r>
      <w:r w:rsidRPr="004F08D1">
        <w:rPr>
          <w:sz w:val="20"/>
        </w:rPr>
        <w:t xml:space="preserve"> onlinelibrary.wiley.com/doi/10.1111/j.1467-8535.2010.01124.x/pdf</w:t>
      </w:r>
    </w:p>
    <w:p w:rsidR="007600EB" w:rsidRDefault="007600EB" w:rsidP="007600EB">
      <w:pPr>
        <w:ind w:left="720" w:hanging="720"/>
        <w:rPr>
          <w:sz w:val="20"/>
        </w:rPr>
      </w:pPr>
      <w:r w:rsidRPr="004F08D1">
        <w:rPr>
          <w:sz w:val="20"/>
        </w:rPr>
        <w:t xml:space="preserve">Bransford, J., Brown, A., &amp; Cocking, R. (2002). </w:t>
      </w:r>
      <w:r w:rsidRPr="004F08D1">
        <w:rPr>
          <w:i/>
          <w:iCs/>
          <w:sz w:val="20"/>
        </w:rPr>
        <w:t>How people learn: Brain, mind, experience, and school</w:t>
      </w:r>
      <w:r w:rsidRPr="004F08D1">
        <w:rPr>
          <w:sz w:val="20"/>
        </w:rPr>
        <w:t>. Washington, DC, National Academy Press.</w:t>
      </w:r>
    </w:p>
    <w:p w:rsidR="007600EB" w:rsidRDefault="007600EB" w:rsidP="007600EB">
      <w:pPr>
        <w:ind w:left="720" w:hanging="720"/>
        <w:rPr>
          <w:sz w:val="20"/>
        </w:rPr>
      </w:pPr>
      <w:r w:rsidRPr="004F08D1">
        <w:rPr>
          <w:sz w:val="20"/>
        </w:rPr>
        <w:t>Cohen, L.</w:t>
      </w:r>
      <w:r>
        <w:rPr>
          <w:sz w:val="20"/>
        </w:rPr>
        <w:t>,</w:t>
      </w:r>
      <w:r w:rsidRPr="004F08D1">
        <w:rPr>
          <w:sz w:val="20"/>
        </w:rPr>
        <w:t xml:space="preserve"> Manion, L</w:t>
      </w:r>
      <w:r>
        <w:rPr>
          <w:sz w:val="20"/>
        </w:rPr>
        <w:t>,</w:t>
      </w:r>
      <w:r w:rsidRPr="004F08D1">
        <w:rPr>
          <w:sz w:val="20"/>
        </w:rPr>
        <w:t xml:space="preserve">. &amp; Morrison, K. (2005). </w:t>
      </w:r>
      <w:r w:rsidRPr="004F08D1">
        <w:rPr>
          <w:i/>
          <w:iCs/>
          <w:sz w:val="20"/>
        </w:rPr>
        <w:t>Research Methods in Education</w:t>
      </w:r>
      <w:r w:rsidRPr="004F08D1">
        <w:rPr>
          <w:sz w:val="20"/>
        </w:rPr>
        <w:t>. Taylor &amp; Francis e-Library.</w:t>
      </w:r>
    </w:p>
    <w:p w:rsidR="007600EB" w:rsidRDefault="007600EB" w:rsidP="007600EB">
      <w:pPr>
        <w:ind w:left="720" w:hanging="720"/>
        <w:rPr>
          <w:sz w:val="20"/>
        </w:rPr>
      </w:pPr>
      <w:r w:rsidRPr="004F08D1">
        <w:rPr>
          <w:sz w:val="20"/>
        </w:rPr>
        <w:t xml:space="preserve">Dick, W. &amp; Carey, L. (2001). </w:t>
      </w:r>
      <w:r w:rsidRPr="004F08D1">
        <w:rPr>
          <w:i/>
          <w:iCs/>
          <w:sz w:val="20"/>
        </w:rPr>
        <w:t>The systematic design of instruction</w:t>
      </w:r>
      <w:r w:rsidRPr="004F08D1">
        <w:rPr>
          <w:sz w:val="20"/>
        </w:rPr>
        <w:t xml:space="preserve"> (5th ed.) New York, NY: HarperCollins Publishers Inc.</w:t>
      </w:r>
    </w:p>
    <w:p w:rsidR="007600EB" w:rsidRDefault="007600EB" w:rsidP="007600EB">
      <w:pPr>
        <w:ind w:left="720" w:hanging="720"/>
        <w:rPr>
          <w:sz w:val="20"/>
        </w:rPr>
      </w:pPr>
      <w:r w:rsidRPr="004F08D1">
        <w:rPr>
          <w:sz w:val="20"/>
        </w:rPr>
        <w:t xml:space="preserve">Frisby, A. &amp; Day, K. (2003). AISR education services: </w:t>
      </w:r>
      <w:r w:rsidRPr="004F08D1">
        <w:rPr>
          <w:i/>
          <w:iCs/>
          <w:sz w:val="20"/>
        </w:rPr>
        <w:t>Instructional Design Concepts Workshop</w:t>
      </w:r>
      <w:r w:rsidRPr="004F08D1">
        <w:rPr>
          <w:sz w:val="20"/>
        </w:rPr>
        <w:t xml:space="preserve">. </w:t>
      </w:r>
    </w:p>
    <w:p w:rsidR="007600EB" w:rsidRDefault="007600EB" w:rsidP="007600EB">
      <w:pPr>
        <w:ind w:left="720" w:hanging="720"/>
        <w:rPr>
          <w:sz w:val="20"/>
        </w:rPr>
      </w:pPr>
      <w:r w:rsidRPr="004F08D1">
        <w:rPr>
          <w:sz w:val="20"/>
        </w:rPr>
        <w:t xml:space="preserve">FSF (Flight Safety Foundation) Editorial Staff (2005). Malfunctions, procedural errors contribute to entry door incidents. </w:t>
      </w:r>
      <w:r w:rsidRPr="004F08D1">
        <w:rPr>
          <w:i/>
          <w:iCs/>
          <w:sz w:val="20"/>
        </w:rPr>
        <w:t>Flight safety foundation: Cabin Crew Safety, 40</w:t>
      </w:r>
      <w:r w:rsidRPr="004F08D1">
        <w:rPr>
          <w:sz w:val="20"/>
        </w:rPr>
        <w:t>, 5.</w:t>
      </w:r>
    </w:p>
    <w:p w:rsidR="007600EB" w:rsidRDefault="007600EB" w:rsidP="007600EB">
      <w:pPr>
        <w:ind w:left="720" w:hanging="720"/>
        <w:rPr>
          <w:sz w:val="20"/>
        </w:rPr>
      </w:pPr>
      <w:r w:rsidRPr="004F08D1">
        <w:rPr>
          <w:sz w:val="20"/>
        </w:rPr>
        <w:t xml:space="preserve">Gagne, R. (1968). Learning hierarchies. </w:t>
      </w:r>
      <w:r w:rsidRPr="004F08D1">
        <w:rPr>
          <w:i/>
          <w:iCs/>
          <w:sz w:val="20"/>
        </w:rPr>
        <w:t xml:space="preserve">Educational </w:t>
      </w:r>
      <w:r w:rsidRPr="004F08D1">
        <w:rPr>
          <w:sz w:val="20"/>
        </w:rPr>
        <w:t>Psychologist 6, 1-9.</w:t>
      </w:r>
    </w:p>
    <w:p w:rsidR="007600EB" w:rsidRDefault="007600EB" w:rsidP="007600EB">
      <w:pPr>
        <w:ind w:left="720" w:hanging="720"/>
        <w:rPr>
          <w:sz w:val="20"/>
        </w:rPr>
      </w:pPr>
      <w:r w:rsidRPr="004F08D1">
        <w:rPr>
          <w:sz w:val="20"/>
        </w:rPr>
        <w:t>Gagne, R (1977). Instructional programs. In M. H. Marx &amp; M. E. Bunch (Eds.), Fundamental and application of learning. New York: Macmillan.</w:t>
      </w:r>
    </w:p>
    <w:p w:rsidR="007600EB" w:rsidRDefault="007600EB" w:rsidP="007600EB">
      <w:pPr>
        <w:ind w:left="720" w:hanging="720"/>
        <w:rPr>
          <w:sz w:val="20"/>
        </w:rPr>
      </w:pPr>
      <w:r w:rsidRPr="004F08D1">
        <w:rPr>
          <w:sz w:val="20"/>
        </w:rPr>
        <w:t xml:space="preserve">Gagne, R. (1985). </w:t>
      </w:r>
      <w:r w:rsidRPr="004F08D1">
        <w:rPr>
          <w:i/>
          <w:iCs/>
          <w:sz w:val="20"/>
        </w:rPr>
        <w:t>The conditions of learning and theory of instruction</w:t>
      </w:r>
      <w:r w:rsidRPr="004F08D1">
        <w:rPr>
          <w:sz w:val="20"/>
        </w:rPr>
        <w:t>. New York: Holt, Rinehart and Winston</w:t>
      </w:r>
    </w:p>
    <w:p w:rsidR="007600EB" w:rsidRDefault="007600EB" w:rsidP="007600EB">
      <w:pPr>
        <w:ind w:left="720" w:hanging="720"/>
        <w:rPr>
          <w:sz w:val="20"/>
        </w:rPr>
      </w:pPr>
      <w:r w:rsidRPr="004F08D1">
        <w:rPr>
          <w:sz w:val="20"/>
        </w:rPr>
        <w:t>Gagne, R., Briggs, L. &amp; Wager, W. (1992). Principles of instructional design (4th Ed.). Fort Worth, TX: HBJ College Publishers.</w:t>
      </w:r>
    </w:p>
    <w:p w:rsidR="007600EB" w:rsidRDefault="007600EB" w:rsidP="007600EB">
      <w:pPr>
        <w:ind w:left="720" w:hanging="720"/>
        <w:rPr>
          <w:sz w:val="20"/>
        </w:rPr>
      </w:pPr>
      <w:r>
        <w:rPr>
          <w:sz w:val="20"/>
        </w:rPr>
        <w:t>Gay, L. &amp; Arasian,</w:t>
      </w:r>
      <w:r w:rsidRPr="004F08D1">
        <w:rPr>
          <w:sz w:val="20"/>
        </w:rPr>
        <w:t xml:space="preserve"> P. (2003). </w:t>
      </w:r>
      <w:r w:rsidRPr="004F08D1">
        <w:rPr>
          <w:i/>
          <w:iCs/>
          <w:sz w:val="20"/>
        </w:rPr>
        <w:t>Educational research: Competencies for analysis and application</w:t>
      </w:r>
      <w:r w:rsidRPr="004F08D1">
        <w:rPr>
          <w:sz w:val="20"/>
        </w:rPr>
        <w:t>: Prentice Hall.</w:t>
      </w:r>
    </w:p>
    <w:p w:rsidR="007600EB" w:rsidRDefault="007600EB" w:rsidP="007600EB">
      <w:pPr>
        <w:ind w:left="720" w:hanging="720"/>
        <w:rPr>
          <w:sz w:val="20"/>
        </w:rPr>
      </w:pPr>
      <w:r w:rsidRPr="004F08D1">
        <w:rPr>
          <w:sz w:val="20"/>
        </w:rPr>
        <w:lastRenderedPageBreak/>
        <w:t xml:space="preserve">IEEE (2001). Reference guide for instructional design and development. Retrieved on June7,2009. </w:t>
      </w:r>
      <w:hyperlink r:id="rId29" w:history="1">
        <w:r w:rsidRPr="004F08D1">
          <w:rPr>
            <w:sz w:val="20"/>
          </w:rPr>
          <w:t>http://www.fnl.ch/LOBs/LOs_Public/IEEEGuide_for_Instruction.pdf</w:t>
        </w:r>
      </w:hyperlink>
      <w:r w:rsidRPr="004F08D1">
        <w:rPr>
          <w:sz w:val="20"/>
        </w:rPr>
        <w:t>.</w:t>
      </w:r>
    </w:p>
    <w:p w:rsidR="007600EB" w:rsidRDefault="007600EB" w:rsidP="007600EB">
      <w:pPr>
        <w:ind w:left="720" w:hanging="720"/>
        <w:rPr>
          <w:sz w:val="20"/>
        </w:rPr>
      </w:pPr>
      <w:r w:rsidRPr="004F08D1">
        <w:rPr>
          <w:sz w:val="20"/>
        </w:rPr>
        <w:t xml:space="preserve">Johnson, T. (2009). The </w:t>
      </w:r>
      <w:r w:rsidRPr="004F08D1">
        <w:rPr>
          <w:i/>
          <w:iCs/>
          <w:sz w:val="20"/>
        </w:rPr>
        <w:t>Effect of Closed Interactive Multimedia Learning Environments on Student Memory Retention</w:t>
      </w:r>
      <w:r w:rsidRPr="004F08D1">
        <w:rPr>
          <w:sz w:val="20"/>
        </w:rPr>
        <w:t>: A Lin</w:t>
      </w:r>
      <w:r>
        <w:rPr>
          <w:sz w:val="20"/>
        </w:rPr>
        <w:t>ear Versus Non-Linear Approach.</w:t>
      </w:r>
      <w:r w:rsidRPr="004F08D1">
        <w:rPr>
          <w:sz w:val="20"/>
        </w:rPr>
        <w:t xml:space="preserve"> University of North Florida.</w:t>
      </w:r>
    </w:p>
    <w:p w:rsidR="007600EB" w:rsidRPr="004F08D1" w:rsidRDefault="007600EB" w:rsidP="007600EB">
      <w:pPr>
        <w:ind w:left="720" w:hanging="720"/>
        <w:rPr>
          <w:sz w:val="20"/>
        </w:rPr>
      </w:pPr>
      <w:r w:rsidRPr="004F08D1">
        <w:rPr>
          <w:sz w:val="20"/>
        </w:rPr>
        <w:t xml:space="preserve">Jordan Aviation Training and Simulation (JATS).  </w:t>
      </w:r>
      <w:hyperlink r:id="rId30" w:history="1">
        <w:r w:rsidRPr="004F08D1">
          <w:rPr>
            <w:sz w:val="20"/>
          </w:rPr>
          <w:t>www.jats.com.jo</w:t>
        </w:r>
      </w:hyperlink>
      <w:r w:rsidRPr="004F08D1">
        <w:rPr>
          <w:sz w:val="20"/>
        </w:rPr>
        <w:t>.</w:t>
      </w:r>
    </w:p>
    <w:p w:rsidR="007600EB" w:rsidRDefault="007600EB" w:rsidP="007600EB">
      <w:pPr>
        <w:ind w:left="720" w:hanging="720"/>
        <w:rPr>
          <w:sz w:val="20"/>
        </w:rPr>
      </w:pPr>
      <w:r w:rsidRPr="004F08D1">
        <w:rPr>
          <w:sz w:val="20"/>
        </w:rPr>
        <w:t xml:space="preserve">Lecouturier, B. (1999). </w:t>
      </w:r>
      <w:r w:rsidRPr="004F08D1">
        <w:rPr>
          <w:i/>
          <w:iCs/>
          <w:sz w:val="20"/>
        </w:rPr>
        <w:t>A cabin crew perspective of safety issues for the years 2000</w:t>
      </w:r>
      <w:r w:rsidRPr="004F08D1">
        <w:rPr>
          <w:sz w:val="20"/>
        </w:rPr>
        <w:t>. In Cabin Safety Conference. www.itf.org.uk/SECTIONS/Ca/ 211099safety.htmS (20/01/02).</w:t>
      </w:r>
    </w:p>
    <w:p w:rsidR="007600EB" w:rsidRDefault="007600EB" w:rsidP="007600EB">
      <w:pPr>
        <w:ind w:left="720" w:hanging="720"/>
        <w:rPr>
          <w:sz w:val="20"/>
        </w:rPr>
      </w:pPr>
      <w:r w:rsidRPr="004F08D1">
        <w:rPr>
          <w:sz w:val="20"/>
        </w:rPr>
        <w:t xml:space="preserve">Leocha, C. (2009). </w:t>
      </w:r>
      <w:r w:rsidRPr="004F08D1">
        <w:rPr>
          <w:i/>
          <w:iCs/>
          <w:sz w:val="20"/>
        </w:rPr>
        <w:t>Unsung heroes on the Hudson — flight attendants on US Airways</w:t>
      </w:r>
      <w:r w:rsidRPr="004F08D1">
        <w:rPr>
          <w:sz w:val="20"/>
        </w:rPr>
        <w:t xml:space="preserve"> 1549. Retrieved on 10-2-9. www.consumertraveler.com/.../unsung-heroes-on-the-hudson-flight- attendants-on-us-airways-1549/</w:t>
      </w:r>
    </w:p>
    <w:p w:rsidR="007600EB" w:rsidRDefault="007600EB" w:rsidP="007600EB">
      <w:pPr>
        <w:ind w:left="720" w:hanging="720"/>
        <w:rPr>
          <w:sz w:val="20"/>
        </w:rPr>
      </w:pPr>
      <w:r w:rsidRPr="004F08D1">
        <w:rPr>
          <w:sz w:val="20"/>
        </w:rPr>
        <w:t xml:space="preserve">Lowe, R. (2003). Animation and learning: selective processing of information in dynamic graphics. </w:t>
      </w:r>
      <w:r w:rsidRPr="004F08D1">
        <w:rPr>
          <w:i/>
          <w:iCs/>
          <w:sz w:val="20"/>
        </w:rPr>
        <w:t>Learning and Instruction, 13</w:t>
      </w:r>
      <w:r w:rsidRPr="004F08D1">
        <w:rPr>
          <w:sz w:val="20"/>
        </w:rPr>
        <w:t>, 157-176.</w:t>
      </w:r>
    </w:p>
    <w:p w:rsidR="007600EB" w:rsidRDefault="007600EB" w:rsidP="007600EB">
      <w:pPr>
        <w:ind w:left="720" w:hanging="720"/>
        <w:rPr>
          <w:sz w:val="20"/>
        </w:rPr>
      </w:pPr>
      <w:r w:rsidRPr="004F08D1">
        <w:rPr>
          <w:sz w:val="20"/>
        </w:rPr>
        <w:t xml:space="preserve">Lund, A (2001). </w:t>
      </w:r>
      <w:r w:rsidRPr="004F08D1">
        <w:rPr>
          <w:i/>
          <w:iCs/>
          <w:sz w:val="20"/>
        </w:rPr>
        <w:t>Measuring usability with the USE questionnaire</w:t>
      </w:r>
      <w:r w:rsidRPr="004F08D1">
        <w:rPr>
          <w:sz w:val="20"/>
        </w:rPr>
        <w:t xml:space="preserve">. Retrieved 13.12.2010. </w:t>
      </w:r>
      <w:hyperlink r:id="rId31" w:history="1">
        <w:r w:rsidRPr="004F08D1">
          <w:rPr>
            <w:sz w:val="20"/>
          </w:rPr>
          <w:t>http://www.stcsig.org/usability/newsletter/0110_measuring_with_use.html</w:t>
        </w:r>
      </w:hyperlink>
    </w:p>
    <w:p w:rsidR="007600EB" w:rsidRDefault="007600EB" w:rsidP="007600EB">
      <w:pPr>
        <w:ind w:left="720" w:hanging="720"/>
        <w:rPr>
          <w:sz w:val="20"/>
        </w:rPr>
      </w:pPr>
      <w:r w:rsidRPr="004F08D1">
        <w:rPr>
          <w:sz w:val="20"/>
        </w:rPr>
        <w:t xml:space="preserve">Mahnaz, M. (2001). Applying constructivist and objectivist learning theories in the design of a web-based course: implications for practice. </w:t>
      </w:r>
      <w:r w:rsidRPr="004F08D1">
        <w:rPr>
          <w:i/>
          <w:iCs/>
          <w:sz w:val="20"/>
        </w:rPr>
        <w:t>Educational Technology &amp; Society, 4</w:t>
      </w:r>
      <w:r w:rsidRPr="004F08D1">
        <w:rPr>
          <w:sz w:val="20"/>
        </w:rPr>
        <w:t>, 113-125.</w:t>
      </w:r>
    </w:p>
    <w:p w:rsidR="007600EB" w:rsidRDefault="007600EB" w:rsidP="00DC690B">
      <w:pPr>
        <w:ind w:left="720" w:hanging="720"/>
        <w:rPr>
          <w:sz w:val="20"/>
        </w:rPr>
      </w:pPr>
      <w:r w:rsidRPr="004F08D1">
        <w:rPr>
          <w:sz w:val="20"/>
        </w:rPr>
        <w:t xml:space="preserve">Mahony, P. Grifﬁths, R. and Powell, R. (2008). Retention of knowledge and skills in ﬁrst aid and resuscitation by airline cabin crew. </w:t>
      </w:r>
      <w:r w:rsidRPr="004F08D1">
        <w:rPr>
          <w:i/>
          <w:iCs/>
          <w:sz w:val="20"/>
        </w:rPr>
        <w:t>Resuscitation, 76</w:t>
      </w:r>
      <w:r w:rsidRPr="004F08D1">
        <w:rPr>
          <w:sz w:val="20"/>
        </w:rPr>
        <w:t>, 413-418.</w:t>
      </w:r>
    </w:p>
    <w:p w:rsidR="007600EB" w:rsidRDefault="007600EB" w:rsidP="00DC690B">
      <w:pPr>
        <w:ind w:left="720" w:hanging="720"/>
        <w:rPr>
          <w:sz w:val="20"/>
        </w:rPr>
      </w:pPr>
      <w:r w:rsidRPr="004F08D1">
        <w:rPr>
          <w:sz w:val="20"/>
        </w:rPr>
        <w:t xml:space="preserve">Rhoden S., Raltson R. &amp; Ineson E. (2007). Cabin crew training to control disruptive airline passenger behavior: a cause for tourism concern. </w:t>
      </w:r>
      <w:r w:rsidRPr="004F08D1">
        <w:rPr>
          <w:i/>
          <w:iCs/>
          <w:sz w:val="20"/>
        </w:rPr>
        <w:t>Tourism Management, 29</w:t>
      </w:r>
      <w:r w:rsidRPr="004F08D1">
        <w:rPr>
          <w:sz w:val="20"/>
        </w:rPr>
        <w:t>, 538–547.</w:t>
      </w:r>
    </w:p>
    <w:p w:rsidR="007600EB" w:rsidRDefault="007600EB" w:rsidP="00DC690B">
      <w:pPr>
        <w:ind w:left="720" w:hanging="720"/>
        <w:rPr>
          <w:sz w:val="20"/>
        </w:rPr>
      </w:pPr>
      <w:r w:rsidRPr="004F08D1">
        <w:rPr>
          <w:sz w:val="20"/>
        </w:rPr>
        <w:t xml:space="preserve">Rosenkrans, W. (2006). Guarding the airways. Flight safety foundation, </w:t>
      </w:r>
      <w:r w:rsidRPr="004F08D1">
        <w:rPr>
          <w:i/>
          <w:iCs/>
          <w:sz w:val="20"/>
        </w:rPr>
        <w:t>Aviation Safety World</w:t>
      </w:r>
      <w:r w:rsidRPr="004F08D1">
        <w:rPr>
          <w:sz w:val="20"/>
        </w:rPr>
        <w:t xml:space="preserve">. </w:t>
      </w:r>
      <w:r w:rsidRPr="004F08D1">
        <w:rPr>
          <w:i/>
          <w:iCs/>
          <w:sz w:val="20"/>
        </w:rPr>
        <w:t>September.</w:t>
      </w:r>
    </w:p>
    <w:p w:rsidR="007600EB" w:rsidRPr="004F08D1" w:rsidRDefault="007600EB" w:rsidP="00DC690B">
      <w:pPr>
        <w:ind w:left="720" w:hanging="720"/>
        <w:rPr>
          <w:sz w:val="20"/>
        </w:rPr>
      </w:pPr>
      <w:r w:rsidRPr="004F08D1">
        <w:rPr>
          <w:sz w:val="20"/>
        </w:rPr>
        <w:t xml:space="preserve">Royal Jordanian (2007). Flight attendant in-flight safety manual. Policy and procedure manual. </w:t>
      </w:r>
      <w:r w:rsidRPr="004F08D1">
        <w:rPr>
          <w:i/>
          <w:iCs/>
          <w:sz w:val="20"/>
        </w:rPr>
        <w:t>Standar</w:t>
      </w:r>
      <w:r>
        <w:rPr>
          <w:i/>
          <w:iCs/>
          <w:sz w:val="20"/>
        </w:rPr>
        <w:t>d</w:t>
      </w:r>
      <w:r w:rsidRPr="004F08D1">
        <w:rPr>
          <w:i/>
          <w:iCs/>
          <w:sz w:val="20"/>
        </w:rPr>
        <w:t>s and Procedure Section</w:t>
      </w:r>
      <w:r w:rsidRPr="004F08D1">
        <w:rPr>
          <w:sz w:val="20"/>
        </w:rPr>
        <w:t>.</w:t>
      </w:r>
    </w:p>
    <w:p w:rsidR="007600EB" w:rsidRDefault="007600EB" w:rsidP="00DC690B">
      <w:pPr>
        <w:ind w:left="720" w:hanging="720"/>
        <w:rPr>
          <w:sz w:val="20"/>
        </w:rPr>
      </w:pPr>
      <w:r w:rsidRPr="004F08D1">
        <w:rPr>
          <w:sz w:val="20"/>
        </w:rPr>
        <w:t xml:space="preserve">Von Bertalanffy, L. (1962). General system theory - A critical review, </w:t>
      </w:r>
      <w:r w:rsidRPr="004F08D1">
        <w:rPr>
          <w:i/>
          <w:iCs/>
          <w:sz w:val="20"/>
        </w:rPr>
        <w:t>General Systems, 7</w:t>
      </w:r>
      <w:r w:rsidRPr="004F08D1">
        <w:rPr>
          <w:sz w:val="20"/>
        </w:rPr>
        <w:t>, 1-20.</w:t>
      </w:r>
    </w:p>
    <w:p w:rsidR="007600EB" w:rsidRDefault="007600EB" w:rsidP="007600EB"/>
    <w:p w:rsidR="007600EB" w:rsidRPr="00324D83" w:rsidRDefault="007600EB" w:rsidP="003E7D5E">
      <w:pPr>
        <w:pStyle w:val="Heading7"/>
        <w:rPr>
          <w:lang w:val="en-GB"/>
        </w:rPr>
      </w:pPr>
      <w:r w:rsidRPr="00324D83">
        <w:rPr>
          <w:lang w:val="en-GB"/>
        </w:rPr>
        <w:t>About the Author</w:t>
      </w:r>
    </w:p>
    <w:p w:rsidR="007600EB" w:rsidRPr="006E31B6" w:rsidRDefault="007600EB" w:rsidP="007600EB">
      <w:pPr>
        <w:rPr>
          <w:rStyle w:val="apple-style-span"/>
          <w:color w:val="343434"/>
          <w:szCs w:val="22"/>
        </w:rPr>
      </w:pPr>
      <w:r w:rsidRPr="006E31B6">
        <w:rPr>
          <w:rFonts w:ascii="Arial" w:hAnsi="Arial" w:cs="Arial"/>
          <w:b/>
          <w:sz w:val="24"/>
          <w:szCs w:val="24"/>
          <w:lang w:val="en-GB"/>
        </w:rPr>
        <w:t>Zakaria Bani-Salameh</w:t>
      </w:r>
      <w:r w:rsidRPr="00324D83">
        <w:rPr>
          <w:sz w:val="20"/>
          <w:lang w:val="en-GB"/>
        </w:rPr>
        <w:t xml:space="preserve"> </w:t>
      </w:r>
      <w:r w:rsidRPr="006E31B6">
        <w:rPr>
          <w:szCs w:val="22"/>
          <w:lang w:val="en-GB"/>
        </w:rPr>
        <w:t>is from the English Department, College of Arts, University of Hail, Saudi Arabia</w:t>
      </w:r>
      <w:r w:rsidR="003E7D5E">
        <w:rPr>
          <w:szCs w:val="22"/>
          <w:lang w:val="en-GB"/>
        </w:rPr>
        <w:t xml:space="preserve">. eMail: </w:t>
      </w:r>
      <w:hyperlink r:id="rId32" w:history="1">
        <w:r w:rsidRPr="006E31B6">
          <w:rPr>
            <w:rStyle w:val="Hyperlink"/>
            <w:rFonts w:eastAsia="Calibri"/>
            <w:szCs w:val="22"/>
          </w:rPr>
          <w:t>zakariasalameh@yahoo.com</w:t>
        </w:r>
      </w:hyperlink>
    </w:p>
    <w:p w:rsidR="007600EB" w:rsidRDefault="007600EB" w:rsidP="007600EB">
      <w:pPr>
        <w:rPr>
          <w:sz w:val="20"/>
          <w:lang w:val="en-GB"/>
        </w:rPr>
      </w:pPr>
    </w:p>
    <w:p w:rsidR="003E7D5E" w:rsidRDefault="003E7D5E" w:rsidP="007600EB">
      <w:pPr>
        <w:rPr>
          <w:sz w:val="20"/>
          <w:lang w:val="en-GB"/>
        </w:rPr>
      </w:pPr>
    </w:p>
    <w:p w:rsidR="00282C4B" w:rsidRDefault="00282C4B" w:rsidP="007600EB">
      <w:pPr>
        <w:rPr>
          <w:sz w:val="20"/>
          <w:lang w:val="en-GB"/>
        </w:rPr>
      </w:pPr>
    </w:p>
    <w:p w:rsidR="00282C4B" w:rsidRDefault="00282C4B" w:rsidP="007600EB">
      <w:pPr>
        <w:rPr>
          <w:sz w:val="20"/>
          <w:lang w:val="en-GB"/>
        </w:rPr>
      </w:pPr>
    </w:p>
    <w:p w:rsidR="00282C4B" w:rsidRDefault="00282C4B"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FB2F59" w:rsidRDefault="00FB2F59" w:rsidP="007600EB">
      <w:pPr>
        <w:rPr>
          <w:sz w:val="20"/>
          <w:lang w:val="en-GB"/>
        </w:rPr>
      </w:pPr>
    </w:p>
    <w:p w:rsidR="007600EB" w:rsidRPr="003E7D5E" w:rsidRDefault="00E635E1" w:rsidP="007600EB">
      <w:pPr>
        <w:rPr>
          <w:rStyle w:val="Hyperlink"/>
          <w:rFonts w:ascii="Arial" w:hAnsi="Arial" w:cs="Arial"/>
          <w:sz w:val="16"/>
          <w:szCs w:val="16"/>
          <w:lang w:eastAsia="zh-CN"/>
        </w:rPr>
      </w:pPr>
      <w:hyperlink w:anchor="TOC" w:history="1">
        <w:r w:rsidR="007600EB" w:rsidRPr="003E7D5E">
          <w:rPr>
            <w:rStyle w:val="Hyperlink"/>
            <w:rFonts w:ascii="Arial" w:hAnsi="Arial" w:cs="Arial"/>
            <w:sz w:val="16"/>
            <w:szCs w:val="16"/>
          </w:rPr>
          <w:t>Return to Table of Contents</w:t>
        </w:r>
      </w:hyperlink>
      <w:r w:rsidR="007600EB" w:rsidRPr="003E7D5E">
        <w:rPr>
          <w:rStyle w:val="Hyperlink"/>
          <w:rFonts w:ascii="Arial" w:hAnsi="Arial" w:cs="Arial"/>
          <w:sz w:val="16"/>
          <w:szCs w:val="16"/>
        </w:rPr>
        <w:br w:type="page"/>
      </w: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Default="00282C4B" w:rsidP="00282C4B">
      <w:pPr>
        <w:rPr>
          <w:sz w:val="20"/>
          <w:lang w:val="en-GB"/>
        </w:rPr>
      </w:pPr>
    </w:p>
    <w:p w:rsidR="00282C4B" w:rsidRPr="003E7D5E" w:rsidRDefault="00282C4B" w:rsidP="00282C4B">
      <w:pPr>
        <w:rPr>
          <w:rStyle w:val="Hyperlink"/>
          <w:rFonts w:ascii="Arial" w:hAnsi="Arial" w:cs="Arial"/>
          <w:sz w:val="16"/>
          <w:szCs w:val="16"/>
          <w:lang w:eastAsia="zh-CN"/>
        </w:rPr>
      </w:pPr>
      <w:hyperlink w:anchor="TOC" w:history="1">
        <w:r w:rsidRPr="003E7D5E">
          <w:rPr>
            <w:rStyle w:val="Hyperlink"/>
            <w:rFonts w:ascii="Arial" w:hAnsi="Arial" w:cs="Arial"/>
            <w:sz w:val="16"/>
            <w:szCs w:val="16"/>
          </w:rPr>
          <w:t>Return to Table of Contents</w:t>
        </w:r>
      </w:hyperlink>
      <w:r w:rsidRPr="003E7D5E">
        <w:rPr>
          <w:rStyle w:val="Hyperlink"/>
          <w:rFonts w:ascii="Arial" w:hAnsi="Arial" w:cs="Arial"/>
          <w:sz w:val="16"/>
          <w:szCs w:val="16"/>
        </w:rPr>
        <w:br w:type="page"/>
      </w:r>
    </w:p>
    <w:p w:rsidR="007600EB" w:rsidRPr="00DD02AF" w:rsidRDefault="007600EB" w:rsidP="00DD02AF">
      <w:pPr>
        <w:pStyle w:val="Note"/>
      </w:pPr>
      <w:r w:rsidRPr="00DC690B">
        <w:rPr>
          <w:b/>
        </w:rPr>
        <w:lastRenderedPageBreak/>
        <w:t>Editor’s Note</w:t>
      </w:r>
      <w:r>
        <w:t xml:space="preserve">: </w:t>
      </w:r>
      <w:r w:rsidR="00972E7D">
        <w:t>This paper provides an in-depth analysis of problems and s</w:t>
      </w:r>
      <w:r w:rsidR="00FB1342">
        <w:t>trategie</w:t>
      </w:r>
      <w:r w:rsidR="00972E7D">
        <w:t xml:space="preserve">s to develop effective self-directed learners using social constructivist </w:t>
      </w:r>
      <w:r w:rsidR="00FB1342">
        <w:t>approaches in open distance learning</w:t>
      </w:r>
      <w:r w:rsidR="00972E7D">
        <w:t>.</w:t>
      </w:r>
    </w:p>
    <w:p w:rsidR="003E7D5E" w:rsidRPr="00DD02AF" w:rsidRDefault="003E7D5E" w:rsidP="00DD02AF">
      <w:pPr>
        <w:pStyle w:val="Note"/>
      </w:pPr>
    </w:p>
    <w:p w:rsidR="007600EB" w:rsidRPr="00936D82" w:rsidRDefault="007600EB" w:rsidP="003E7D5E">
      <w:pPr>
        <w:pStyle w:val="Heading6"/>
      </w:pPr>
      <w:bookmarkStart w:id="8" w:name="_Self-directedness_in_Open"/>
      <w:bookmarkEnd w:id="8"/>
      <w:r w:rsidRPr="00936D82">
        <w:t xml:space="preserve">Self-directedness in </w:t>
      </w:r>
      <w:r w:rsidR="009159C3">
        <w:t>o</w:t>
      </w:r>
      <w:r w:rsidRPr="00936D82">
        <w:t xml:space="preserve">pen distance learning: </w:t>
      </w:r>
      <w:r w:rsidR="003E7D5E">
        <w:br/>
      </w:r>
      <w:r w:rsidRPr="00936D82">
        <w:t>twists and turns</w:t>
      </w:r>
    </w:p>
    <w:p w:rsidR="007600EB" w:rsidRPr="003E7D5E" w:rsidRDefault="007600EB" w:rsidP="003E7D5E">
      <w:pPr>
        <w:pStyle w:val="Heading5"/>
        <w:rPr>
          <w:sz w:val="22"/>
          <w:szCs w:val="22"/>
        </w:rPr>
      </w:pPr>
      <w:r w:rsidRPr="003E7D5E">
        <w:rPr>
          <w:sz w:val="22"/>
          <w:szCs w:val="22"/>
        </w:rPr>
        <w:t>Bernadette Geduld</w:t>
      </w:r>
    </w:p>
    <w:p w:rsidR="007600EB" w:rsidRPr="003E7D5E" w:rsidRDefault="007600EB" w:rsidP="003E7D5E">
      <w:pPr>
        <w:pStyle w:val="Heading5"/>
        <w:rPr>
          <w:sz w:val="18"/>
          <w:szCs w:val="18"/>
        </w:rPr>
      </w:pPr>
      <w:r w:rsidRPr="003E7D5E">
        <w:rPr>
          <w:sz w:val="18"/>
          <w:szCs w:val="18"/>
        </w:rPr>
        <w:t>South Africa</w:t>
      </w:r>
    </w:p>
    <w:p w:rsidR="007600EB" w:rsidRDefault="007600EB" w:rsidP="003E7D5E">
      <w:pPr>
        <w:pStyle w:val="Heading7"/>
      </w:pPr>
      <w:r w:rsidRPr="00756896">
        <w:t>Abstract</w:t>
      </w:r>
    </w:p>
    <w:p w:rsidR="007600EB" w:rsidRDefault="007600EB" w:rsidP="007600EB">
      <w:r w:rsidRPr="00242C94">
        <w:t xml:space="preserve">Learning is a complex process that has generated numerous interpretations and theories as to how exactly it can be effectively facilitated to ensure that accomplished and meaningful learning is </w:t>
      </w:r>
      <w:r>
        <w:t>attained</w:t>
      </w:r>
      <w:r w:rsidRPr="00242C94">
        <w:t>. Teacher-centred teaching and learning has dominated much of education, particularly adult and higher education, for the past fifty years or more, but there ha</w:t>
      </w:r>
      <w:r>
        <w:t>s</w:t>
      </w:r>
      <w:r w:rsidRPr="00242C94">
        <w:t xml:space="preserve"> been an increasing number of requests to educators to make a paradigm shift from the behaviouristic approach to the constructivist approach of teaching and learning. This paper pro</w:t>
      </w:r>
      <w:r>
        <w:t>vides</w:t>
      </w:r>
      <w:r w:rsidRPr="00242C94">
        <w:t xml:space="preserve"> an opportunity for discussion on the value and challenges of social constructivist approaches and self-directed learning for </w:t>
      </w:r>
      <w:r w:rsidR="00DF085D">
        <w:t>open and distance learning (</w:t>
      </w:r>
      <w:r w:rsidRPr="00242C94">
        <w:t>ODL</w:t>
      </w:r>
      <w:r w:rsidR="00DF085D">
        <w:t>)</w:t>
      </w:r>
      <w:r w:rsidRPr="00242C94">
        <w:t xml:space="preserve"> students</w:t>
      </w:r>
      <w:r>
        <w:t xml:space="preserve"> and lecturers</w:t>
      </w:r>
      <w:r w:rsidRPr="00242C94">
        <w:t>.</w:t>
      </w:r>
      <w:r>
        <w:t xml:space="preserve"> ODL lecturers’ and students’ teaching and learning beliefs will have to be shaped according social constructivist approaches to develop self-directedness in students.  </w:t>
      </w:r>
    </w:p>
    <w:p w:rsidR="007600EB" w:rsidRPr="003E7D5E" w:rsidRDefault="007600EB" w:rsidP="007600EB">
      <w:pPr>
        <w:rPr>
          <w:sz w:val="20"/>
        </w:rPr>
      </w:pPr>
      <w:r w:rsidRPr="003E7D5E">
        <w:rPr>
          <w:b/>
          <w:noProof/>
          <w:sz w:val="20"/>
          <w:lang w:val="en-GB"/>
        </w:rPr>
        <w:t>Keywords</w:t>
      </w:r>
      <w:r w:rsidRPr="003E7D5E">
        <w:rPr>
          <w:noProof/>
          <w:sz w:val="20"/>
          <w:lang w:val="en-GB"/>
        </w:rPr>
        <w:t>:</w:t>
      </w:r>
      <w:r w:rsidRPr="003E7D5E">
        <w:rPr>
          <w:sz w:val="20"/>
        </w:rPr>
        <w:t xml:space="preserve"> open distance learning, demands, development, self-directed learning, self-regulation, strategies </w:t>
      </w:r>
    </w:p>
    <w:p w:rsidR="007600EB" w:rsidRPr="00490164" w:rsidRDefault="007600EB" w:rsidP="003E7D5E">
      <w:pPr>
        <w:pStyle w:val="Heading7"/>
      </w:pPr>
      <w:r w:rsidRPr="00BF3992">
        <w:rPr>
          <w:lang w:val="en-GB"/>
        </w:rPr>
        <w:t>Introduction</w:t>
      </w:r>
      <w:r>
        <w:rPr>
          <w:rFonts w:ascii="Times New Roman" w:hAnsi="Times New Roman"/>
          <w:lang w:val="en-GB"/>
        </w:rPr>
        <w:t xml:space="preserve"> </w:t>
      </w:r>
    </w:p>
    <w:p w:rsidR="007600EB" w:rsidRPr="00B215CE" w:rsidRDefault="007600EB" w:rsidP="007600EB">
      <w:r w:rsidRPr="00490164">
        <w:t xml:space="preserve">Learning is a complex process that has generated numerous interpretations and theories as to how exactly it can be effectively facilitated to ensure that accomplished and meaningful learning is </w:t>
      </w:r>
      <w:r>
        <w:t>attained</w:t>
      </w:r>
      <w:r w:rsidRPr="00490164">
        <w:t>. The task of translating learning theories into practical applications is not simple and straightforward. Teacher-centred teaching and learning has dominated much of education, particularly adult and higher education, for the past fifty years or more, but there ha</w:t>
      </w:r>
      <w:r>
        <w:t>s</w:t>
      </w:r>
      <w:r w:rsidRPr="00490164">
        <w:t xml:space="preserve"> been an increasing number of requests</w:t>
      </w:r>
      <w:r>
        <w:t>, from proponents of constructivism,</w:t>
      </w:r>
      <w:r w:rsidRPr="00490164">
        <w:t xml:space="preserve"> to educators to make a paradigm shift from the behaviouristic approach to the constructivist approach of teaching and </w:t>
      </w:r>
      <w:r w:rsidRPr="00B215CE">
        <w:t>learning (Brown, 2005:1; Vrasidas</w:t>
      </w:r>
      <w:r>
        <w:t>,</w:t>
      </w:r>
      <w:r w:rsidRPr="00B215CE">
        <w:t xml:space="preserve"> 2000:339).</w:t>
      </w:r>
    </w:p>
    <w:p w:rsidR="007600EB" w:rsidRDefault="007600EB" w:rsidP="007600EB">
      <w:r w:rsidRPr="00756896">
        <w:t xml:space="preserve">In South Africa, ODL is the only available mode for delivering professional in-service training and development to practising unqualified and under-qualified teachers across geographical distances. </w:t>
      </w:r>
      <w:r>
        <w:t>T</w:t>
      </w:r>
      <w:r w:rsidRPr="00756896">
        <w:t>eachers, especially in rural areas</w:t>
      </w:r>
      <w:r w:rsidR="00DF085D">
        <w:t>,</w:t>
      </w:r>
      <w:r w:rsidRPr="00756896">
        <w:t xml:space="preserve"> </w:t>
      </w:r>
      <w:r>
        <w:t>avail themselves</w:t>
      </w:r>
      <w:r w:rsidRPr="00756896">
        <w:t xml:space="preserve"> of this mode and opportunity to enro</w:t>
      </w:r>
      <w:r w:rsidR="00DF085D">
        <w:t>l</w:t>
      </w:r>
      <w:r w:rsidRPr="00756896">
        <w:t>l and improve their qualifications</w:t>
      </w:r>
      <w:r>
        <w:t>.</w:t>
      </w:r>
      <w:r w:rsidRPr="00756896">
        <w:t xml:space="preserve"> </w:t>
      </w:r>
      <w:r>
        <w:t xml:space="preserve">One large South African university </w:t>
      </w:r>
      <w:r w:rsidRPr="00756896">
        <w:t>offers distance education programmes</w:t>
      </w:r>
      <w:r>
        <w:t xml:space="preserve"> for educators,</w:t>
      </w:r>
      <w:r w:rsidRPr="00756896">
        <w:t xml:space="preserve"> through a second </w:t>
      </w:r>
      <w:r w:rsidRPr="009F3242">
        <w:t>generation model with a social constructivist and blended learning approach that combines the use of printed media, limited face-to</w:t>
      </w:r>
      <w:r w:rsidR="00DF085D">
        <w:t>-</w:t>
      </w:r>
      <w:r w:rsidRPr="009F3242">
        <w:t>face</w:t>
      </w:r>
      <w:r w:rsidR="00DF085D">
        <w:t xml:space="preserve"> </w:t>
      </w:r>
      <w:r w:rsidRPr="009F3242">
        <w:t>contact sessions at 55 study centres and interactive whiteboards, CD-ROMs, and mobile devices as part of curriculum delivery and student support</w:t>
      </w:r>
      <w:r w:rsidRPr="009F3242">
        <w:fldChar w:fldCharType="begin"/>
      </w:r>
      <w:r w:rsidRPr="009F3242">
        <w:instrText xml:space="preserve"> ADDIN EN.CITE &lt;EndNote&gt;&lt;Cite&gt;&lt;Author&gt;SAIDE&lt;/Author&gt;&lt;Year&gt;2011&lt;/Year&gt;&lt;RecNum&gt;24&lt;/RecNum&gt;&lt;record&gt;&lt;rec-number&gt;24&lt;/rec-number&gt;&lt;foreign-keys&gt;&lt;key app="EN" db-id="9t2zzdrp80ep9vew50gpf9r9wwrv2vfrv2tw"&gt;24&lt;/key&gt;&lt;/foreign-keys&gt;&lt;ref-type name="Government Document"&gt;46&lt;/ref-type&gt;&lt;contributors&gt;&lt;authors&gt;&lt;author&gt;SAIDE,&lt;/author&gt;&lt;/authors&gt;&lt;/contributors&gt;&lt;titles&gt;&lt;title&gt;An open learning perspectives on the national commission on Higher Education framework for transformation&lt;/title&gt;&lt;/titles&gt;&lt;dates&gt;&lt;year&gt;2011&lt;/year&gt;&lt;/dates&gt;&lt;pub-location&gt;Johannesburg&lt;/pub-location&gt;&lt;publisher&gt;SAIDE&lt;/publisher&gt;&lt;urls&gt;&lt;related-urls&gt;&lt;url&gt;www.oerafrica.org/ResourceDownload.aspx?assetid=762&lt;/url&gt;&lt;/related-urls&gt;&lt;/urls&gt;&lt;/record&gt;&lt;/Cite&gt;&lt;/EndNote&gt;</w:instrText>
      </w:r>
      <w:r w:rsidRPr="009F3242">
        <w:fldChar w:fldCharType="end"/>
      </w:r>
      <w:r w:rsidRPr="009F3242">
        <w:t>. Additional student support is offered through vacation schools, tutorial letters, information booklets, telephonic assistance</w:t>
      </w:r>
      <w:r>
        <w:t xml:space="preserve"> and</w:t>
      </w:r>
      <w:r w:rsidRPr="009F3242">
        <w:t xml:space="preserve"> email</w:t>
      </w:r>
      <w:r>
        <w:t xml:space="preserve"> (Blignaut &amp; Els, 2010:101).</w:t>
      </w:r>
      <w:r w:rsidRPr="009F3242">
        <w:t xml:space="preserve"> </w:t>
      </w:r>
    </w:p>
    <w:p w:rsidR="007600EB" w:rsidRPr="00AB7168" w:rsidRDefault="007600EB" w:rsidP="003E7D5E">
      <w:pPr>
        <w:pStyle w:val="Heading7"/>
      </w:pPr>
      <w:r w:rsidRPr="00AB7168">
        <w:t>Problem statement</w:t>
      </w:r>
    </w:p>
    <w:p w:rsidR="007600EB" w:rsidRDefault="007600EB" w:rsidP="007600EB">
      <w:pPr>
        <w:rPr>
          <w:lang w:val="nl-NL"/>
        </w:rPr>
      </w:pPr>
      <w:r w:rsidRPr="00AB7168">
        <w:t>Though much literature focuses on the value of the social constructivist theory and technology in ODL (Venter &amp; Van Heerden, 2001:20; Schulze, 2009:992; Ferreira, &amp; Venter 2011:80;</w:t>
      </w:r>
      <w:r w:rsidRPr="00AB7168">
        <w:rPr>
          <w:lang w:val="en-GB" w:eastAsia="en-ZA"/>
        </w:rPr>
        <w:t xml:space="preserve"> Makoe, 2012:1</w:t>
      </w:r>
      <w:r w:rsidRPr="00AB7168">
        <w:t xml:space="preserve">) little research was done on the contextual factors of students in developing countries that inhibit the use of social constructivist teaching and learning approaches in ODL. Research on open and distance learning </w:t>
      </w:r>
      <w:r w:rsidR="00DF085D" w:rsidRPr="00AB7168">
        <w:t xml:space="preserve">deals </w:t>
      </w:r>
      <w:r w:rsidRPr="00AB7168">
        <w:t xml:space="preserve">mainly with course design and instruction design (Vrasidas 2000:339; Schudel et al., 2008:543), dissemination and evaluation of educational material and the </w:t>
      </w:r>
      <w:r w:rsidRPr="00AB7168">
        <w:lastRenderedPageBreak/>
        <w:t xml:space="preserve">impact and use of information and communication technology (ICT) when applying a social constructivist approach in ODL (Brown, 2005:1; </w:t>
      </w:r>
      <w:r w:rsidRPr="00AB7168">
        <w:rPr>
          <w:lang w:val="en-GB"/>
        </w:rPr>
        <w:t xml:space="preserve">Tshibalo, 2007:686, </w:t>
      </w:r>
      <w:r w:rsidRPr="00AB7168">
        <w:t>Esterhuizen, 2012:3; Tunjera et al., 201:574).</w:t>
      </w:r>
      <w:r w:rsidRPr="00AB7168">
        <w:rPr>
          <w:lang w:val="nl-NL"/>
        </w:rPr>
        <w:t xml:space="preserve"> </w:t>
      </w:r>
      <w:r>
        <w:rPr>
          <w:lang w:val="nl-NL"/>
        </w:rPr>
        <w:t>Searches on journals and books have revealed that l</w:t>
      </w:r>
      <w:r w:rsidRPr="00AB7168">
        <w:rPr>
          <w:lang w:val="nl-NL"/>
        </w:rPr>
        <w:t xml:space="preserve">iterature on ODL focuses mainly on challenges of ODL institutions to deliver quality education, the technological development, </w:t>
      </w:r>
      <w:r>
        <w:rPr>
          <w:lang w:val="nl-NL"/>
        </w:rPr>
        <w:t xml:space="preserve">e-readiness, </w:t>
      </w:r>
      <w:r w:rsidRPr="00AB7168">
        <w:rPr>
          <w:lang w:val="nl-NL"/>
        </w:rPr>
        <w:t>quality assurance, cost effectiveness and student support (Simpson 2012</w:t>
      </w:r>
      <w:r>
        <w:rPr>
          <w:lang w:val="nl-NL"/>
        </w:rPr>
        <w:t>:</w:t>
      </w:r>
      <w:r w:rsidRPr="00AB7168">
        <w:rPr>
          <w:lang w:val="nl-NL"/>
        </w:rPr>
        <w:t>105; Roberts, 2007</w:t>
      </w:r>
      <w:r>
        <w:rPr>
          <w:lang w:val="nl-NL"/>
        </w:rPr>
        <w:t>:</w:t>
      </w:r>
      <w:r w:rsidRPr="00AB7168">
        <w:rPr>
          <w:lang w:val="nl-NL"/>
        </w:rPr>
        <w:t xml:space="preserve">1; Mikropoulos, 2013). </w:t>
      </w:r>
    </w:p>
    <w:p w:rsidR="007600EB" w:rsidRPr="00DF2CB2" w:rsidRDefault="007600EB" w:rsidP="007600EB">
      <w:r w:rsidRPr="00124C94">
        <w:t>Many ODL students struggle to meet the requirements of social constructivism which has many parallels with</w:t>
      </w:r>
      <w:r w:rsidRPr="006324AE">
        <w:t xml:space="preserve"> </w:t>
      </w:r>
      <w:r w:rsidRPr="00124C94">
        <w:t>self-directed learning, namely</w:t>
      </w:r>
      <w:r>
        <w:t xml:space="preserve"> for learners</w:t>
      </w:r>
      <w:r w:rsidRPr="00124C94">
        <w:t xml:space="preserve"> to be meta-cognitively, motivationally, and behaviourally active participants in their own learning processes</w:t>
      </w:r>
      <w:r>
        <w:t>.</w:t>
      </w:r>
      <w:r w:rsidRPr="00124C94">
        <w:t xml:space="preserve"> This situation can be attributed to the fact that a majority of students, especially those from disadvantaged backgrounds, find it difficult to succeed in ODL (Makoe 2012, 65).</w:t>
      </w:r>
      <w:r>
        <w:t xml:space="preserve"> Students’ inability to apply social constructivist approaches and students who are less self-directed</w:t>
      </w:r>
      <w:r w:rsidRPr="00124C94">
        <w:t xml:space="preserve"> result in </w:t>
      </w:r>
      <w:r>
        <w:t>poor pass rates and d</w:t>
      </w:r>
      <w:r w:rsidRPr="00124C94">
        <w:t xml:space="preserve">eclining graduation rates </w:t>
      </w:r>
      <w:r>
        <w:t xml:space="preserve">in higher </w:t>
      </w:r>
      <w:r w:rsidRPr="0025328E">
        <w:t>education (Higher Education and Training, 2012).</w:t>
      </w:r>
      <w:r>
        <w:t xml:space="preserve"> S</w:t>
      </w:r>
      <w:r w:rsidRPr="00124C94">
        <w:t xml:space="preserve">tudents who are not successful the first time around and only pass after a second or third examination, are terminated, or drop out. </w:t>
      </w:r>
      <w:r w:rsidRPr="00DF2CB2">
        <w:rPr>
          <w:lang w:val="en-GB"/>
        </w:rPr>
        <w:t xml:space="preserve">Academic success in ODL can </w:t>
      </w:r>
      <w:r>
        <w:rPr>
          <w:lang w:val="en-GB"/>
        </w:rPr>
        <w:t xml:space="preserve">be improved if </w:t>
      </w:r>
      <w:r w:rsidRPr="00DF2CB2">
        <w:rPr>
          <w:lang w:val="en-GB"/>
        </w:rPr>
        <w:t>ODL institutions know and understand more about students</w:t>
      </w:r>
      <w:r>
        <w:rPr>
          <w:lang w:val="en-GB"/>
        </w:rPr>
        <w:t>’</w:t>
      </w:r>
      <w:r w:rsidRPr="00DF2CB2">
        <w:rPr>
          <w:lang w:val="en-GB"/>
        </w:rPr>
        <w:t xml:space="preserve"> </w:t>
      </w:r>
      <w:r>
        <w:rPr>
          <w:lang w:val="en-GB"/>
        </w:rPr>
        <w:t xml:space="preserve">and lecturers’ </w:t>
      </w:r>
      <w:r w:rsidRPr="00DF2CB2">
        <w:rPr>
          <w:lang w:val="en-GB"/>
        </w:rPr>
        <w:t>abilities</w:t>
      </w:r>
      <w:r>
        <w:rPr>
          <w:lang w:val="en-GB"/>
        </w:rPr>
        <w:t xml:space="preserve"> to function in social constructivist approaches and blended learning and how to develop students’ self-directed skills in ODL</w:t>
      </w:r>
      <w:r w:rsidRPr="00DF2CB2">
        <w:rPr>
          <w:lang w:val="en-GB"/>
        </w:rPr>
        <w:t>.</w:t>
      </w:r>
    </w:p>
    <w:p w:rsidR="007600EB" w:rsidRPr="000B0CD1" w:rsidRDefault="007600EB" w:rsidP="007600EB">
      <w:pPr>
        <w:rPr>
          <w:lang w:val="nl-NL"/>
        </w:rPr>
      </w:pPr>
      <w:r w:rsidRPr="000B0CD1">
        <w:rPr>
          <w:lang w:val="nl-NL"/>
        </w:rPr>
        <w:t>Against the dearth of research on pedagogic issues</w:t>
      </w:r>
      <w:r w:rsidRPr="000B0CD1">
        <w:t xml:space="preserve"> and contextual factors of students in developing countries that inhibit the use of </w:t>
      </w:r>
      <w:r>
        <w:rPr>
          <w:lang w:val="en-GB"/>
        </w:rPr>
        <w:t xml:space="preserve">social constructivist </w:t>
      </w:r>
      <w:r w:rsidRPr="000B0CD1">
        <w:t>teaching and learning in ODL</w:t>
      </w:r>
      <w:r>
        <w:t xml:space="preserve"> the following questions arose:</w:t>
      </w:r>
    </w:p>
    <w:p w:rsidR="007600EB" w:rsidRPr="00254F60" w:rsidRDefault="007600EB" w:rsidP="003E7D5E">
      <w:pPr>
        <w:ind w:left="360"/>
      </w:pPr>
      <w:r w:rsidRPr="00254F60">
        <w:t>What are the challenges of teaching and learning in a social constructivist approach in the specific ODL context of BEd Honours students at NWU?</w:t>
      </w:r>
    </w:p>
    <w:p w:rsidR="007600EB" w:rsidRPr="00254F60" w:rsidRDefault="007600EB" w:rsidP="003E7D5E">
      <w:pPr>
        <w:ind w:left="360"/>
      </w:pPr>
      <w:r w:rsidRPr="00254F60">
        <w:t>Are students' self-directedness sufficient to function with a social constructivist paradigm within ODL?</w:t>
      </w:r>
    </w:p>
    <w:p w:rsidR="007600EB" w:rsidRPr="00254F60" w:rsidRDefault="007600EB" w:rsidP="003E7D5E">
      <w:pPr>
        <w:ind w:left="360"/>
      </w:pPr>
      <w:r w:rsidRPr="00254F60">
        <w:t>What support can be offered to enhance self-directedness and overcome the challenges in social constructivist teaching and learning?</w:t>
      </w:r>
    </w:p>
    <w:p w:rsidR="007600EB" w:rsidRDefault="007600EB" w:rsidP="003E7D5E">
      <w:pPr>
        <w:pStyle w:val="Heading7"/>
      </w:pPr>
      <w:r>
        <w:t xml:space="preserve">Research </w:t>
      </w:r>
      <w:r w:rsidR="00FB1342">
        <w:t>o</w:t>
      </w:r>
      <w:r>
        <w:t>rientation</w:t>
      </w:r>
    </w:p>
    <w:p w:rsidR="007600EB" w:rsidRDefault="007600EB" w:rsidP="007600EB">
      <w:pPr>
        <w:rPr>
          <w:lang w:val="en-GB"/>
        </w:rPr>
      </w:pPr>
      <w:r w:rsidRPr="008F52D2">
        <w:t xml:space="preserve">The </w:t>
      </w:r>
      <w:r>
        <w:t>research was approached from a</w:t>
      </w:r>
      <w:r w:rsidRPr="008F52D2">
        <w:t xml:space="preserve"> pragmatic, post</w:t>
      </w:r>
      <w:r w:rsidR="00DF085D">
        <w:t>-</w:t>
      </w:r>
      <w:r w:rsidRPr="008F52D2">
        <w:t xml:space="preserve">positivist worldview which is based on context driven and practical views best suited for the specific research aims of </w:t>
      </w:r>
      <w:r>
        <w:t xml:space="preserve">this </w:t>
      </w:r>
      <w:r w:rsidR="00DF085D">
        <w:t>study</w:t>
      </w:r>
      <w:r>
        <w:t>, namely to reflect about a real world problem</w:t>
      </w:r>
      <w:r>
        <w:rPr>
          <w:noProof/>
          <w:lang w:val="nl-NL"/>
        </w:rPr>
        <w:t xml:space="preserve"> and to improve practice </w:t>
      </w:r>
      <w:r w:rsidRPr="008F52D2">
        <w:rPr>
          <w:noProof/>
          <w:lang w:val="nl-NL"/>
        </w:rPr>
        <w:t>(Gelo, Braakman and Benerka 2008</w:t>
      </w:r>
      <w:r>
        <w:rPr>
          <w:noProof/>
          <w:lang w:val="nl-NL"/>
        </w:rPr>
        <w:t>:</w:t>
      </w:r>
      <w:r w:rsidRPr="008F52D2">
        <w:rPr>
          <w:noProof/>
          <w:lang w:val="nl-NL"/>
        </w:rPr>
        <w:t xml:space="preserve"> 278)</w:t>
      </w:r>
      <w:r>
        <w:rPr>
          <w:noProof/>
          <w:lang w:val="nl-NL"/>
        </w:rPr>
        <w:t xml:space="preserve"> </w:t>
      </w:r>
      <w:r w:rsidRPr="00EE2559">
        <w:rPr>
          <w:lang w:val="en-GB"/>
        </w:rPr>
        <w:t xml:space="preserve">The reason for choosing a pragmatic research paradigm is because </w:t>
      </w:r>
      <w:r>
        <w:rPr>
          <w:lang w:val="en-GB"/>
        </w:rPr>
        <w:t xml:space="preserve">it </w:t>
      </w:r>
      <w:r w:rsidRPr="00EE2559">
        <w:rPr>
          <w:lang w:val="en-GB"/>
        </w:rPr>
        <w:t xml:space="preserve">provides a workable solution to </w:t>
      </w:r>
      <w:r w:rsidR="00DF085D">
        <w:rPr>
          <w:lang w:val="en-GB"/>
        </w:rPr>
        <w:t xml:space="preserve">the </w:t>
      </w:r>
      <w:r w:rsidRPr="00EE2559">
        <w:rPr>
          <w:lang w:val="en-GB"/>
        </w:rPr>
        <w:t xml:space="preserve">multifaceted research problems </w:t>
      </w:r>
      <w:r>
        <w:rPr>
          <w:lang w:val="en-GB"/>
        </w:rPr>
        <w:t xml:space="preserve">and research questions above </w:t>
      </w:r>
      <w:r w:rsidRPr="00EE2559">
        <w:rPr>
          <w:lang w:val="en-GB"/>
        </w:rPr>
        <w:t>and offers a practical, “</w:t>
      </w:r>
      <w:r w:rsidRPr="00EE2559">
        <w:rPr>
          <w:i/>
          <w:iCs/>
          <w:lang w:val="en-GB"/>
        </w:rPr>
        <w:t>middle ground</w:t>
      </w:r>
      <w:r w:rsidRPr="00EE2559">
        <w:rPr>
          <w:lang w:val="en-GB"/>
        </w:rPr>
        <w:t xml:space="preserve">” orientation in relation to postpositivism and interpretivism </w:t>
      </w:r>
      <w:r w:rsidRPr="00220312">
        <w:rPr>
          <w:lang w:val="en-GB"/>
        </w:rPr>
        <w:t>(Johnson &amp; Onwuegbuzie, 2004:17,18).</w:t>
      </w:r>
    </w:p>
    <w:p w:rsidR="007600EB" w:rsidRDefault="007600EB" w:rsidP="007600EB">
      <w:pPr>
        <w:rPr>
          <w:color w:val="000000"/>
          <w:lang w:eastAsia="en-ZA"/>
        </w:rPr>
      </w:pPr>
      <w:r w:rsidRPr="009F3242">
        <w:t xml:space="preserve">In this </w:t>
      </w:r>
      <w:r w:rsidR="00DF085D">
        <w:t>study</w:t>
      </w:r>
      <w:r w:rsidRPr="009F3242">
        <w:t xml:space="preserve"> the author will reflect on the challenges of ODL teaching and learning in a social constructivist teaching and learning approach where ODL is delivered in a second generation model.</w:t>
      </w:r>
      <w:r w:rsidRPr="009F3242">
        <w:rPr>
          <w:color w:val="000000"/>
          <w:lang w:eastAsia="en-ZA"/>
        </w:rPr>
        <w:t xml:space="preserve"> The methodology here is twofold: Firstly, a description of the development of ODL and its demands and challenges are offered. Secondly, by drawing on literature texts concerning social constructivism, self-directed learning, self-regulated </w:t>
      </w:r>
      <w:r>
        <w:rPr>
          <w:color w:val="000000"/>
          <w:lang w:eastAsia="en-ZA"/>
        </w:rPr>
        <w:t xml:space="preserve">learning </w:t>
      </w:r>
      <w:r w:rsidRPr="009F3242">
        <w:rPr>
          <w:color w:val="000000"/>
          <w:lang w:eastAsia="en-ZA"/>
        </w:rPr>
        <w:t xml:space="preserve">and its interrelatedness, the author reflects on contextual challenges for </w:t>
      </w:r>
      <w:r w:rsidR="00DF085D">
        <w:rPr>
          <w:color w:val="000000"/>
          <w:lang w:eastAsia="en-ZA"/>
        </w:rPr>
        <w:t>teach</w:t>
      </w:r>
      <w:r w:rsidRPr="009F3242">
        <w:rPr>
          <w:color w:val="000000"/>
          <w:lang w:eastAsia="en-ZA"/>
        </w:rPr>
        <w:t>ers and students.</w:t>
      </w:r>
    </w:p>
    <w:p w:rsidR="007600EB" w:rsidRPr="009F3242" w:rsidRDefault="007600EB" w:rsidP="007600EB">
      <w:r>
        <w:t>R</w:t>
      </w:r>
      <w:r w:rsidRPr="009F3242">
        <w:t xml:space="preserve">eflections </w:t>
      </w:r>
      <w:r>
        <w:t xml:space="preserve">in this chapter </w:t>
      </w:r>
      <w:r w:rsidRPr="009F3242">
        <w:t>offer insight to ODL lecturers in developing contexts as to what can be expected and to become aware and proactive in developing their teaching strategies and technological abilities. ODL in developed contexts, on the other hand, could compare these experiences with their own contexts to explore the impact of development.</w:t>
      </w:r>
    </w:p>
    <w:p w:rsidR="007600EB" w:rsidRDefault="007600EB" w:rsidP="007600EB">
      <w:r w:rsidRPr="009F3242">
        <w:lastRenderedPageBreak/>
        <w:t xml:space="preserve">In the following sections the theoretical conceptual framework will be </w:t>
      </w:r>
      <w:r>
        <w:t>offered and r</w:t>
      </w:r>
      <w:r w:rsidRPr="009F3242">
        <w:t xml:space="preserve">ecommendations be made to foster </w:t>
      </w:r>
      <w:r>
        <w:t xml:space="preserve">self-directedness and </w:t>
      </w:r>
      <w:r w:rsidRPr="009F3242">
        <w:t xml:space="preserve">social constructivist approaches in ODL. </w:t>
      </w:r>
    </w:p>
    <w:p w:rsidR="007600EB" w:rsidRPr="00C7455D" w:rsidRDefault="007600EB" w:rsidP="003E7D5E">
      <w:pPr>
        <w:pStyle w:val="Heading7"/>
      </w:pPr>
      <w:r>
        <w:t>Theoretical c</w:t>
      </w:r>
      <w:r w:rsidRPr="00C7455D">
        <w:t>onceptual framework</w:t>
      </w:r>
    </w:p>
    <w:p w:rsidR="007600EB" w:rsidRPr="00674BE8" w:rsidRDefault="007600EB" w:rsidP="003E7D5E">
      <w:pPr>
        <w:pStyle w:val="Heading4"/>
      </w:pPr>
      <w:r w:rsidRPr="00674BE8">
        <w:t>Open distance learning</w:t>
      </w:r>
    </w:p>
    <w:p w:rsidR="007600EB" w:rsidRPr="009F3242" w:rsidRDefault="007600EB" w:rsidP="007600EB">
      <w:r w:rsidRPr="009F3242">
        <w:t>Wang and Kreysa (2006</w:t>
      </w:r>
      <w:r>
        <w:t>:3</w:t>
      </w:r>
      <w:r w:rsidRPr="009F3242">
        <w:t xml:space="preserve">) and Littlejohn </w:t>
      </w:r>
      <w:r w:rsidRPr="00A4622E">
        <w:t>et al.</w:t>
      </w:r>
      <w:r w:rsidRPr="009F3242">
        <w:t xml:space="preserve"> (2007</w:t>
      </w:r>
      <w:r>
        <w:t>:228</w:t>
      </w:r>
      <w:r w:rsidRPr="009F3242">
        <w:t xml:space="preserve">) define open distance education as a form of education with the characteristics of a physical distance between the teacher and the students, an organised teaching program, and the use of technological media and two way communication. </w:t>
      </w:r>
    </w:p>
    <w:p w:rsidR="007600EB" w:rsidRPr="009F3242" w:rsidRDefault="007600EB" w:rsidP="007600EB">
      <w:r w:rsidRPr="009F3242">
        <w:t xml:space="preserve">With the development of ODL in </w:t>
      </w:r>
      <w:r w:rsidR="00DF085D">
        <w:t>recent</w:t>
      </w:r>
      <w:r w:rsidRPr="009F3242">
        <w:t xml:space="preserve"> decades, technology became a powerful tool in effective ODL delivery. </w:t>
      </w:r>
      <w:r w:rsidRPr="00634335">
        <w:t>Anderson (2009:81)</w:t>
      </w:r>
      <w:r w:rsidRPr="009F3242">
        <w:t xml:space="preserve"> poetically describes the essential combination of pedagogy and technology in ODL where “the technology is the music setting the tempo, the beat and the timbre and compelling melodies and pedagogy defines the choreography, directing the dancers’ sweeping motions, graceful extensions, and enduring embraces.”</w:t>
      </w:r>
    </w:p>
    <w:p w:rsidR="007600EB" w:rsidRPr="009F3242" w:rsidRDefault="007600EB" w:rsidP="007600EB">
      <w:r w:rsidRPr="009F3242">
        <w:t>Various reasons are cited in the literature for the development of ODL in higher education</w:t>
      </w:r>
      <w:r w:rsidR="00FA7D90">
        <w:t>al</w:t>
      </w:r>
      <w:r w:rsidRPr="009F3242">
        <w:t xml:space="preserve"> institutions</w:t>
      </w:r>
      <w:r w:rsidR="00FA7D90">
        <w:t>,</w:t>
      </w:r>
      <w:r w:rsidRPr="009F3242">
        <w:t xml:space="preserve"> for example the dramatic growth in students beyond 18-24 years of age who need university education, realization of the need for lifelong learning, women returning to the labo</w:t>
      </w:r>
      <w:r>
        <w:t>u</w:t>
      </w:r>
      <w:r w:rsidRPr="009F3242">
        <w:t>r market, a population of workers who have already retired and have had to be retrained for new careers, a response to national educational needs of communities, and countries’ economic needs (Williams &amp; Goldberg, 2005</w:t>
      </w:r>
      <w:r>
        <w:t>:725</w:t>
      </w:r>
      <w:r w:rsidRPr="009F3242">
        <w:t xml:space="preserve">). Technological communication and the Internet in the twenty-first century influenced the nature of learning, and the learning styles of ODL students creating challenges for both lecturers and students in ODL. </w:t>
      </w:r>
    </w:p>
    <w:p w:rsidR="007600EB" w:rsidRPr="009F3242" w:rsidRDefault="007600EB" w:rsidP="007600EB">
      <w:r w:rsidRPr="009F3242">
        <w:t xml:space="preserve">The change in the perception of distance learning as low-status education and increasing confidence in </w:t>
      </w:r>
      <w:r>
        <w:t>ODL</w:t>
      </w:r>
      <w:r w:rsidRPr="009F3242">
        <w:t xml:space="preserve"> teaching methods in the education sector has also resulted in ODL institutions focusing on flexibility in delivery modes. Another related international trend is that the students are viewed as customers (Lai et al 2003). ODL institutions had to adapt their programs and delivery methods, and had to improve programs to meet the learning needs of diverse customers. ODL institutions also had to adapt from teacher-centered to constructivist teaching and learning methods such as interactive learning, problem solving, practical experience and computer- mediated communication (Rumble, 2001</w:t>
      </w:r>
      <w:r>
        <w:t>:18</w:t>
      </w:r>
      <w:r w:rsidRPr="009F3242">
        <w:t xml:space="preserve">). These changes led to the development of more sophisticated interactivity in asynchronous models of distance learning and consequently to greater access for many students. Researchers like Taylor (1995:2) </w:t>
      </w:r>
      <w:r>
        <w:t>an</w:t>
      </w:r>
      <w:r w:rsidRPr="009F3242">
        <w:t>d Zuhairi (2006:95) distinguish between these specific delivery modes and features as different generations of ODL.</w:t>
      </w:r>
    </w:p>
    <w:p w:rsidR="007600EB" w:rsidRPr="00850D95" w:rsidRDefault="007600EB" w:rsidP="003E7D5E">
      <w:pPr>
        <w:pStyle w:val="Heading4"/>
      </w:pPr>
      <w:r w:rsidRPr="00850D95">
        <w:t xml:space="preserve">Generations in </w:t>
      </w:r>
      <w:r w:rsidR="00FA7D90">
        <w:t>o</w:t>
      </w:r>
      <w:r w:rsidRPr="00850D95">
        <w:t>pen distance learning</w:t>
      </w:r>
    </w:p>
    <w:p w:rsidR="007600EB" w:rsidRPr="009F3242" w:rsidRDefault="007600EB" w:rsidP="007600EB">
      <w:r w:rsidRPr="009F3242">
        <w:t>The first generation, the correspondence model, is based on the assumption that knowledge can be transferred by teaching and is characterized by the use of the printed word. (Willems, 2005</w:t>
      </w:r>
      <w:r>
        <w:t>:718</w:t>
      </w:r>
      <w:r w:rsidRPr="009F3242">
        <w:t>). The printed word in the form of detailed, written information, prescribed books and articles for students to study independently (Capa, 2003) is beneficial for students without electricity and electronic technology at their disposal (Ascough, 2002</w:t>
      </w:r>
      <w:r>
        <w:t>:17</w:t>
      </w:r>
      <w:r w:rsidRPr="009F3242">
        <w:t>). This model's advantage is its adaptability to learners in their own time and place and the opportunity to pace their own learning. Students can easily move printed study material for use. The disadvantage is the lack of one-on-one interaction between the student and the educator that gives rise to feelings of isolation among learners (Taylor, 1997</w:t>
      </w:r>
      <w:r>
        <w:t>:2;</w:t>
      </w:r>
      <w:r w:rsidRPr="009F3242">
        <w:t xml:space="preserve"> Willems, 2005</w:t>
      </w:r>
      <w:r>
        <w:t>:718</w:t>
      </w:r>
      <w:r w:rsidRPr="009F3242">
        <w:t>). A further disadvantage is that the mail and transport can be slow or unreliable system and thus feedback on assignments can be delayed (Willems, 2005</w:t>
      </w:r>
      <w:r>
        <w:t>:718</w:t>
      </w:r>
      <w:r w:rsidRPr="009F3242">
        <w:t>).</w:t>
      </w:r>
    </w:p>
    <w:p w:rsidR="007600EB" w:rsidRPr="009F3242" w:rsidRDefault="007600EB" w:rsidP="007600EB">
      <w:r w:rsidRPr="009F3242">
        <w:t xml:space="preserve">The second generation or multimedia model is sometimes described as industrialized (Taylor, 1997:2). The delivery technology of the second generation distance learning is an integrated </w:t>
      </w:r>
      <w:r w:rsidRPr="009F3242">
        <w:lastRenderedPageBreak/>
        <w:t>multi-media approach in which written material, video broadcasts, and computer-based learning are included. The multimedia model is adaptable for time, place, and pace of distance learners' studies (Bates, 2005:7).</w:t>
      </w:r>
    </w:p>
    <w:p w:rsidR="007600EB" w:rsidRPr="009F3242" w:rsidRDefault="007600EB" w:rsidP="007600EB">
      <w:r w:rsidRPr="009F3242">
        <w:t>The third generation or the tele-learning generation is described as knowledge-based or post-industrial. It characterizes a constructivist teaching approach with dialogues and discussions among students and web-based administrative services (Bates, 2005</w:t>
      </w:r>
      <w:r>
        <w:t>:7</w:t>
      </w:r>
      <w:r w:rsidRPr="009F3242">
        <w:t>). This generation focuses on the interactivity between the educator and students using audio teleconferences, video conferencing, audiografic conferences, television and radio (Taylor, 2001</w:t>
      </w:r>
      <w:r>
        <w:t>:3</w:t>
      </w:r>
      <w:r w:rsidRPr="009F3242">
        <w:t xml:space="preserve">). This model offers the advantage of quick feedback on assignments which are made possible by the Internet and students who can communicate with other students to motivate </w:t>
      </w:r>
      <w:r>
        <w:t>one</w:t>
      </w:r>
      <w:r w:rsidRPr="009F3242">
        <w:t xml:space="preserve"> </w:t>
      </w:r>
      <w:r>
        <w:t>an</w:t>
      </w:r>
      <w:r w:rsidRPr="009F3242">
        <w:t>other or even to have social conversations. Although the interactivity between the educator and learner and communication between students increases, the disadvantage of this delivery is that it is not flexible regarding time, place and pace for students who do not have access to technology or who lack technological skills, because these learners are excluded from the learning process.</w:t>
      </w:r>
    </w:p>
    <w:p w:rsidR="007600EB" w:rsidRPr="009F3242" w:rsidRDefault="007600EB" w:rsidP="007600EB">
      <w:r w:rsidRPr="009F3242">
        <w:t>The growth in popularity of the Internet and its e-mail and data storage and recycling capacity has led to a fourth generation of distance learning</w:t>
      </w:r>
      <w:r>
        <w:t xml:space="preserve">, namely </w:t>
      </w:r>
      <w:r w:rsidRPr="009F3242">
        <w:t>the flexi</w:t>
      </w:r>
      <w:r w:rsidR="00FA7D90">
        <w:t>-</w:t>
      </w:r>
      <w:r w:rsidRPr="009F3242">
        <w:t>learning model. This fourth generation is characterized by the development of computer-based communication, on online delivery via the Internet and combines the advantages of high-quality interactive multimedia with access to a range of teaching resources (Taylor, 1997:2; Lai et al., 2003:4). The delivery technology is interactive media that allows the student to communicate with other students if the student is physically separated from the educational institution (Taylor, 2001</w:t>
      </w:r>
      <w:r>
        <w:t>:3</w:t>
      </w:r>
      <w:r w:rsidRPr="009F3242">
        <w:t xml:space="preserve">). Changes in technological communication that are used in this model have influenced aspects </w:t>
      </w:r>
      <w:r>
        <w:t>such as</w:t>
      </w:r>
      <w:r w:rsidRPr="009F3242">
        <w:t xml:space="preserve"> the type of study material, communication and interaction between the lecturer and students and communication </w:t>
      </w:r>
      <w:r w:rsidR="00FA7D90" w:rsidRPr="009F3242">
        <w:t xml:space="preserve">amongst </w:t>
      </w:r>
      <w:r w:rsidRPr="009F3242">
        <w:t xml:space="preserve">students themselves. The general effectiveness of ODL (Zhoa et </w:t>
      </w:r>
      <w:r w:rsidRPr="00631E14">
        <w:t>al., 2005:1862)</w:t>
      </w:r>
      <w:r w:rsidRPr="009F3242">
        <w:t xml:space="preserve"> can be seen from the advantages of sophisticated, interactive multimedia</w:t>
      </w:r>
      <w:r w:rsidR="00FA7D90">
        <w:t xml:space="preserve"> and</w:t>
      </w:r>
      <w:r w:rsidRPr="009F3242">
        <w:t xml:space="preserve"> specially developed printed materials, audiotapes, videotapes, and computer aided teaching packages aimed at improving concepts and cognitive skills of students.</w:t>
      </w:r>
    </w:p>
    <w:p w:rsidR="007600EB" w:rsidRPr="009F3242" w:rsidRDefault="007600EB" w:rsidP="007600EB">
      <w:r w:rsidRPr="009F3242">
        <w:t>The fifth generation of distance learning, known as the intelligent flexi-learning model, focuses on interactive multimedia, Internet-based access to the global site, and computer-based communication. This model is characterized by automated response systems to access the organization's institutional processes to get information (Taylor, 2001:3) and offers the same benefits for students as discussed in the third and fourth generation. Taylor (2001</w:t>
      </w:r>
      <w:r>
        <w:t>:3</w:t>
      </w:r>
      <w:r w:rsidRPr="009F3242">
        <w:t>) sees the model as intelligent because it further benefits automation of administrative and academic learner support systems. The distance learning institution, as well as ODL students</w:t>
      </w:r>
      <w:r w:rsidR="00FA7D90">
        <w:t>,</w:t>
      </w:r>
      <w:r w:rsidRPr="009F3242">
        <w:t xml:space="preserve"> can benefit in terms of the cost of access to the institution, online delivery of courses, saving time and flexibility of place and pace of study.</w:t>
      </w:r>
    </w:p>
    <w:p w:rsidR="007600EB" w:rsidRDefault="007600EB" w:rsidP="007600EB">
      <w:r w:rsidRPr="009F3242">
        <w:t>As with all previous generations, the fifth generation also has shortcomings. Williams (2005</w:t>
      </w:r>
      <w:r>
        <w:t>:721</w:t>
      </w:r>
      <w:r w:rsidRPr="009F3242">
        <w:t>) lists the following problems experienced by this generation of distance learning: the download speed of the Internet is sometimes slow, frustration is sometimes experienced with power outages cutting off the student’s Internet provider or the institution's Internet provider, computers with insufficient memory components to down load online documents, and hidden costs associated with downloading and printing course work.</w:t>
      </w:r>
    </w:p>
    <w:p w:rsidR="007600EB" w:rsidRPr="005478E6" w:rsidRDefault="007600EB" w:rsidP="003E7D5E">
      <w:pPr>
        <w:pStyle w:val="Heading4"/>
      </w:pPr>
      <w:r>
        <w:t>T</w:t>
      </w:r>
      <w:r w:rsidRPr="005478E6">
        <w:t xml:space="preserve">he demands and challenges </w:t>
      </w:r>
      <w:r>
        <w:t xml:space="preserve">of </w:t>
      </w:r>
      <w:r w:rsidRPr="005478E6">
        <w:t xml:space="preserve">ODL </w:t>
      </w:r>
    </w:p>
    <w:p w:rsidR="007600EB" w:rsidRDefault="007600EB" w:rsidP="007600EB">
      <w:r w:rsidRPr="009F3242">
        <w:t>The different generations create different demands on ODL students. All generations require that students are self-directed and possess self-regulating learning skills. There is a lack of conceptual clarity in the literature about the definitions of</w:t>
      </w:r>
      <w:r w:rsidRPr="00894E73">
        <w:t xml:space="preserve"> </w:t>
      </w:r>
      <w:r w:rsidRPr="009F3242">
        <w:t>self-directed learning</w:t>
      </w:r>
      <w:r>
        <w:t>,</w:t>
      </w:r>
      <w:r w:rsidRPr="009F3242">
        <w:t xml:space="preserve"> self-regulation and meta-cognition</w:t>
      </w:r>
      <w:r w:rsidRPr="009F3242" w:rsidDel="00894E73">
        <w:t xml:space="preserve"> </w:t>
      </w:r>
      <w:r w:rsidRPr="009F3242">
        <w:t>(Kaplan, 2008</w:t>
      </w:r>
      <w:r>
        <w:t>:477</w:t>
      </w:r>
      <w:r w:rsidRPr="009F3242">
        <w:t xml:space="preserve">). Sometimes these concepts are used as interchangeable concepts, and </w:t>
      </w:r>
      <w:r>
        <w:t xml:space="preserve">at </w:t>
      </w:r>
      <w:r w:rsidRPr="009F3242">
        <w:t xml:space="preserve">other times they are </w:t>
      </w:r>
      <w:r>
        <w:t xml:space="preserve">viewed </w:t>
      </w:r>
      <w:r w:rsidRPr="009F3242">
        <w:t xml:space="preserve">hierarchically within each other (Dinsmore, Alexander, &amp; </w:t>
      </w:r>
      <w:r w:rsidRPr="009F3242">
        <w:lastRenderedPageBreak/>
        <w:t>Loughlin, 2008</w:t>
      </w:r>
      <w:r>
        <w:t xml:space="preserve">: 392. </w:t>
      </w:r>
      <w:r w:rsidRPr="009F3242">
        <w:t xml:space="preserve">In this article self-directed learning </w:t>
      </w:r>
      <w:r w:rsidR="00FA7D90">
        <w:t xml:space="preserve">(SDL) </w:t>
      </w:r>
      <w:r w:rsidRPr="009F3242">
        <w:t xml:space="preserve">is seen as the broader or umbrella concept which includes self-regulated learning and metacognition. </w:t>
      </w:r>
    </w:p>
    <w:p w:rsidR="007600EB" w:rsidRPr="009F3242" w:rsidRDefault="007600EB" w:rsidP="007600EB">
      <w:r w:rsidRPr="009F3242">
        <w:t>Loyens et al., (2008</w:t>
      </w:r>
      <w:r>
        <w:t>:411</w:t>
      </w:r>
      <w:r w:rsidRPr="009F3242">
        <w:t>) define self-directed learning as a process in which the student takes the initiative and responsibility for setting his own learning goals, identifying and addressing gaps in his learning, identifying resources, selecting and carrying out learning strategies and evaluating his own learning. The literature shows that the concept of SDL embodies many crucial factors connected to students’ responsibility and independence in learning. SDL as a concept was popularized (Knowles 1975</w:t>
      </w:r>
      <w:r>
        <w:t>:18</w:t>
      </w:r>
      <w:r w:rsidRPr="009F3242">
        <w:t>), and has been more thoroughly examined within the tradition of adult education (Guglielmino, 2008</w:t>
      </w:r>
      <w:r>
        <w:t>:3;</w:t>
      </w:r>
      <w:r w:rsidRPr="009F3242">
        <w:t xml:space="preserve"> Silén &amp; Uhlin, 2008</w:t>
      </w:r>
      <w:r>
        <w:t>:461</w:t>
      </w:r>
      <w:r w:rsidRPr="009F3242">
        <w:t>).</w:t>
      </w:r>
    </w:p>
    <w:p w:rsidR="007600EB" w:rsidRPr="009F3242" w:rsidRDefault="007600EB" w:rsidP="007600EB">
      <w:r w:rsidRPr="009F3242">
        <w:t>The importance of self-directed learning is emphasised by the necessity to develop not only students’ subject knowledge but also higher order thoughts</w:t>
      </w:r>
      <w:r w:rsidR="00C076CD">
        <w:t xml:space="preserve"> and reasoning</w:t>
      </w:r>
      <w:r w:rsidRPr="009F3242">
        <w:t xml:space="preserve">, critical thinking skills and lifelong learning to prepare them to function in a changing world. A new approach to learning is needed where the focus is not on the amount of information students learn, but on the process of learning. </w:t>
      </w:r>
    </w:p>
    <w:p w:rsidR="007600EB" w:rsidRPr="009F3242" w:rsidRDefault="007600EB" w:rsidP="007600EB">
      <w:r w:rsidRPr="009F3242">
        <w:t xml:space="preserve">Literature indicates that a positive relationship exists between self-directed learning and academic achievement (Vrugt </w:t>
      </w:r>
      <w:r>
        <w:t>&amp;</w:t>
      </w:r>
      <w:r w:rsidRPr="009F3242">
        <w:t xml:space="preserve"> Oort, 2008</w:t>
      </w:r>
      <w:r>
        <w:t>:124</w:t>
      </w:r>
      <w:r w:rsidRPr="009F3242">
        <w:t>). The ideal ODL student applies self-directed learning to achieve academic success. ODL students’ self-directedness can also be measured according to the degree that they can handle the requirements of ODL as a mode of delivery.</w:t>
      </w:r>
    </w:p>
    <w:p w:rsidR="007600EB" w:rsidRDefault="007600EB" w:rsidP="007600EB">
      <w:r w:rsidRPr="009F3242">
        <w:t>Self-directed students are pro-active in their efforts to learn, because they are aware of their strong and weak points or limitations. By setting personal learning aims, using learning strategies appropriate to the specific learning tasks they have to complete and monitoring learning activities in terms of their learning aims, self-regulated learners determine whether they have achieved the outcomes.</w:t>
      </w:r>
    </w:p>
    <w:p w:rsidR="007600EB" w:rsidRPr="009F3242" w:rsidRDefault="007600EB" w:rsidP="007600EB">
      <w:r w:rsidRPr="009F3242">
        <w:t>Self-regulated learning refers to the process in which a person is metacognitively, socially, motivationally and behaviourally active in his or her own problem-solving processes using self-observation, self-judgment and self-reaction to attend to information; plan and manage time; process, integrate and organise knowledge; code and rehearse information to be remembered (that is, invoke metacognitive skills); maintain a positive sense of self-efficacy; establish a productive work environment; use social resources effectivel</w:t>
      </w:r>
      <w:r>
        <w:t>y</w:t>
      </w:r>
      <w:r w:rsidRPr="009F3242">
        <w:t xml:space="preserve"> and experience a positive anticipation about the potential outcomes of learning new </w:t>
      </w:r>
      <w:r w:rsidRPr="002C10DA">
        <w:t>information (Zimmerman, 1989: 329; Zimmerman, 2000:2. Self</w:t>
      </w:r>
      <w:r w:rsidRPr="009F3242">
        <w:t>-regulated learning can be viewed from behaviouristic, phenomenological, Vygotskian, cognitive-constructivist or social-cognitive theoretical perspectives.</w:t>
      </w:r>
    </w:p>
    <w:p w:rsidR="007600EB" w:rsidRDefault="007600EB" w:rsidP="007600EB">
      <w:r w:rsidRPr="009F3242">
        <w:t xml:space="preserve">Self-regulated students possess superior motivation, high levels of self-efficacy, and the ability to create social and physical environments in which they can learn and which enable them to do well academically. These learners also possess good metacognitive knowledge and control which include </w:t>
      </w:r>
      <w:r w:rsidR="00C076CD">
        <w:t xml:space="preserve">effective </w:t>
      </w:r>
      <w:r w:rsidRPr="009F3242">
        <w:t>planning, organisation, and evaluation of their learning tasks.</w:t>
      </w:r>
    </w:p>
    <w:p w:rsidR="007600EB" w:rsidRPr="009F3242" w:rsidRDefault="007600EB" w:rsidP="007600EB">
      <w:r w:rsidRPr="009F3242">
        <w:t>Metacognition is primarily concerned with the nature of cognitive processes, whereas the primary focus of self</w:t>
      </w:r>
      <w:r>
        <w:t>-</w:t>
      </w:r>
      <w:r w:rsidRPr="009F3242">
        <w:t>regulation is human behavior and its interaction with the environment (Dinsmore et al., 2008</w:t>
      </w:r>
      <w:r>
        <w:t>:392</w:t>
      </w:r>
      <w:r w:rsidRPr="009F3242">
        <w:t xml:space="preserve">). </w:t>
      </w:r>
      <w:r w:rsidRPr="00634335">
        <w:t>Barzilai and Zohar (2014:14) define metacognition as a complex and multifaceted concept that enta</w:t>
      </w:r>
      <w:r w:rsidRPr="009F3242">
        <w:t>ils several types of knowledge, skills of self-regulation,</w:t>
      </w:r>
      <w:r w:rsidR="00C076CD">
        <w:t xml:space="preserve"> </w:t>
      </w:r>
      <w:r w:rsidRPr="009F3242">
        <w:t>control, and affective experiences. Metacognition is usually defined, following Brown and Flavell, as knowledge about cognition and as regulation of cognitive activities (Brown, 1978</w:t>
      </w:r>
      <w:r>
        <w:t>:77</w:t>
      </w:r>
      <w:r w:rsidRPr="009F3242">
        <w:t>; Flavell, 1979</w:t>
      </w:r>
      <w:r>
        <w:t>:906</w:t>
      </w:r>
      <w:r w:rsidRPr="009F3242">
        <w:t>). Processes of regulation and control of cognition involve planning, monitoring, and evaluation of the nature of the individual’s knowledge, as well as of strategies and processes of knowledge construction and justification, as epistemic metacognitive skills.</w:t>
      </w:r>
    </w:p>
    <w:p w:rsidR="007600EB" w:rsidRDefault="007600EB" w:rsidP="007600EB">
      <w:r w:rsidRPr="009F3242">
        <w:t xml:space="preserve">Self-directedness refers to students being in control of their studies and applying </w:t>
      </w:r>
      <w:r>
        <w:t xml:space="preserve">self-regulated and </w:t>
      </w:r>
      <w:r w:rsidRPr="009F3242">
        <w:t xml:space="preserve">metacognitive processes such as planning, goal-setting, task analysis, monitoring and </w:t>
      </w:r>
      <w:r w:rsidRPr="009F3242">
        <w:lastRenderedPageBreak/>
        <w:t>evaluation and reflection of their own progress during the execution of tasks. It furthermore requires that students be able to manage their time and to work independently, be able to manage personal stress, possess motivation for the task at hand</w:t>
      </w:r>
      <w:r>
        <w:t xml:space="preserve"> and</w:t>
      </w:r>
      <w:r w:rsidRPr="009F3242">
        <w:t xml:space="preserve"> to persist ODL students must also have the abilities to overcome the barriers presented by non-mother tongue education, to seek information from different sources and to create a positive learning environment for optimum study. From the second generation on, possession of skills </w:t>
      </w:r>
      <w:r w:rsidR="00C076CD">
        <w:t xml:space="preserve">in </w:t>
      </w:r>
      <w:r w:rsidRPr="009F3242">
        <w:t>information technology and interaction in ODL is required. According to Anderson and Dron (2011:81)</w:t>
      </w:r>
      <w:r>
        <w:t xml:space="preserve"> </w:t>
      </w:r>
      <w:r w:rsidRPr="009F3242">
        <w:t xml:space="preserve">”it is notable that the social-constructivist approach gained foothold in ODL when the technologies of many-to-many communication became widely available by emails, bulletin board and later through the World Wide Web and mobile technologies”. Students must meet all these demands and many others in the face of the isolation caused by geographical separation and lack of contact with fellow students and lecturers. </w:t>
      </w:r>
    </w:p>
    <w:p w:rsidR="007600EB" w:rsidRDefault="007600EB" w:rsidP="007600EB">
      <w:r w:rsidRPr="009F3242">
        <w:t xml:space="preserve">Teaching these students in a social constructivist approach holds challenges and barriers for students as well as for lecturers. </w:t>
      </w:r>
    </w:p>
    <w:p w:rsidR="007600EB" w:rsidRDefault="007600EB" w:rsidP="003E7D5E">
      <w:pPr>
        <w:pStyle w:val="Heading7"/>
      </w:pPr>
      <w:r w:rsidRPr="005478E6">
        <w:t>A social constructivist approach</w:t>
      </w:r>
    </w:p>
    <w:p w:rsidR="007600EB" w:rsidRPr="003E7D5E" w:rsidRDefault="003E7D5E" w:rsidP="003E7D5E">
      <w:pPr>
        <w:pStyle w:val="Heading4"/>
      </w:pPr>
      <w:r>
        <w:t>E</w:t>
      </w:r>
      <w:r w:rsidR="007600EB" w:rsidRPr="003E7D5E">
        <w:t>ssence of the social constructivist approach</w:t>
      </w:r>
    </w:p>
    <w:p w:rsidR="007600EB" w:rsidRPr="009F3242" w:rsidRDefault="007600EB" w:rsidP="007600EB">
      <w:r w:rsidRPr="009F3242">
        <w:t>The social constructivist theory views learning as a social phenomenon and personal interpretation of the world in which knowledge is constructed from real life experiences, prior knowledge, and the activities students engage in as they learn (Bartos, 2007). When knowledge is constructed students develop meaning on the basis of experience and use what they already know about a topic to interpret new information. Learning is also an active student-centered process in which conceptual growth comes from the negotiation of meaning, the sharing of multiple perspectives, and the changing of internal representations through collaborative learning (Kiely, 2004</w:t>
      </w:r>
      <w:r>
        <w:t>:20</w:t>
      </w:r>
      <w:r w:rsidRPr="009F3242">
        <w:t>). One’s understanding comes through understanding, experience, interactions with others, and various sources and reflection (Lewis, 2009</w:t>
      </w:r>
      <w:r>
        <w:t>:38</w:t>
      </w:r>
      <w:r w:rsidRPr="009F3242">
        <w:t>). In the social constructivist approach essential skills like speaking, arguing, resolving conflict, and use of higher order cognitive skills are developed. Because students are able to interpret multiple realities, they can deal better with real life situations. If students can solve problems they may better apply their existing knowledge to a novel situation.</w:t>
      </w:r>
    </w:p>
    <w:p w:rsidR="007600EB" w:rsidRPr="003E7D5E" w:rsidRDefault="007600EB" w:rsidP="003E7D5E">
      <w:pPr>
        <w:pStyle w:val="Heading4"/>
      </w:pPr>
      <w:r w:rsidRPr="003E7D5E">
        <w:t xml:space="preserve">Shortcomings of </w:t>
      </w:r>
      <w:r w:rsidR="00C076CD">
        <w:t>s</w:t>
      </w:r>
      <w:r w:rsidRPr="003E7D5E">
        <w:t>ocial constructivist approaches</w:t>
      </w:r>
    </w:p>
    <w:p w:rsidR="007600EB" w:rsidRPr="009F3242" w:rsidRDefault="007600EB" w:rsidP="007600EB">
      <w:r w:rsidRPr="009F3242">
        <w:t>Th</w:t>
      </w:r>
      <w:r>
        <w:t>e</w:t>
      </w:r>
      <w:r w:rsidRPr="009F3242">
        <w:t xml:space="preserve"> </w:t>
      </w:r>
      <w:r w:rsidR="00C076CD">
        <w:t>s</w:t>
      </w:r>
      <w:r w:rsidRPr="00682BE8">
        <w:t xml:space="preserve">ocial constructivist </w:t>
      </w:r>
      <w:r w:rsidRPr="009F3242">
        <w:t xml:space="preserve">theory silently assumes that all students are evenly responsible, self-directed, and possess metacognitive skills to control their own learning. The challenge </w:t>
      </w:r>
      <w:r w:rsidR="00DA47D3">
        <w:t>is to teach</w:t>
      </w:r>
      <w:r w:rsidRPr="009F3242">
        <w:t xml:space="preserve"> </w:t>
      </w:r>
      <w:r w:rsidR="00DA47D3">
        <w:t xml:space="preserve">this approach to </w:t>
      </w:r>
      <w:r w:rsidRPr="009F3242">
        <w:t xml:space="preserve">less self-directed ODL students who </w:t>
      </w:r>
      <w:r w:rsidR="00DA47D3">
        <w:t>lack</w:t>
      </w:r>
      <w:r w:rsidRPr="009F3242">
        <w:t xml:space="preserve"> the ability to determine the learning needs and strategies required for their academic </w:t>
      </w:r>
      <w:r w:rsidR="00DA47D3">
        <w:t xml:space="preserve">progress. </w:t>
      </w:r>
      <w:r w:rsidRPr="009F3242">
        <w:t>Critics warn that with the application of this theory’s teaching principles, too much emphasis is being placed on active and self-directed learning and the guidance and scaffolding that many students need</w:t>
      </w:r>
      <w:r>
        <w:t>s</w:t>
      </w:r>
      <w:r w:rsidRPr="009F3242">
        <w:t xml:space="preserve"> </w:t>
      </w:r>
      <w:r>
        <w:t>are</w:t>
      </w:r>
      <w:r w:rsidRPr="009F3242">
        <w:t xml:space="preserve"> not taken into account (Liu &amp; Matthews,</w:t>
      </w:r>
      <w:r>
        <w:t xml:space="preserve"> </w:t>
      </w:r>
      <w:r w:rsidRPr="009F3242">
        <w:t>2005</w:t>
      </w:r>
      <w:r>
        <w:t>:391</w:t>
      </w:r>
      <w:r w:rsidRPr="009F3242">
        <w:t>;</w:t>
      </w:r>
      <w:r>
        <w:t xml:space="preserve"> </w:t>
      </w:r>
      <w:r w:rsidRPr="009F3242">
        <w:t>Driscoll, 2005</w:t>
      </w:r>
      <w:r>
        <w:t>:399</w:t>
      </w:r>
      <w:r w:rsidRPr="009F3242">
        <w:t>). Another shortcoming is experienced when students have to complete tasks that require various resources such as direct experience, secondary sources, research, and interviews; sometimes the overload of information confuses them when they have to distinguish between relevant and irrelevant information (Venter, 2001</w:t>
      </w:r>
      <w:r>
        <w:t>:91</w:t>
      </w:r>
      <w:r w:rsidRPr="009F3242">
        <w:t xml:space="preserve">). Social constructivist approaches are also problematic in situations where consensus is required and it cannot be reached easily because each student has his or her own unique reality in his or her own thoughts, especially in a multi-cultural country like South Africa. The social constructivist theory is also criticized as subjective because social interaction and collaborative learning is overemphasised, whilst the role of the individual student is deemphasised. This theory has very challenging teaching implications because not all lecturers are familiar with the theoretical and philosophical foundations of social-constructivism. </w:t>
      </w:r>
    </w:p>
    <w:p w:rsidR="007600EB" w:rsidRPr="005478E6" w:rsidRDefault="007600EB" w:rsidP="003E7D5E">
      <w:pPr>
        <w:pStyle w:val="Heading4"/>
      </w:pPr>
      <w:r w:rsidRPr="005478E6">
        <w:lastRenderedPageBreak/>
        <w:t>Profile of the ODL students</w:t>
      </w:r>
    </w:p>
    <w:p w:rsidR="007600EB" w:rsidRDefault="007600EB" w:rsidP="007600EB">
      <w:r w:rsidRPr="009F3242">
        <w:t>The students in the BE</w:t>
      </w:r>
      <w:r w:rsidR="00972E7D">
        <w:t>d</w:t>
      </w:r>
      <w:r w:rsidRPr="009F3242">
        <w:t xml:space="preserve"> Honours programme</w:t>
      </w:r>
      <w:r>
        <w:t xml:space="preserve"> at the North West University</w:t>
      </w:r>
      <w:r w:rsidRPr="009F3242">
        <w:t xml:space="preserve"> are mostly female, middle aged, older than forty years and married</w:t>
      </w:r>
      <w:r>
        <w:t xml:space="preserve"> and have received</w:t>
      </w:r>
      <w:r w:rsidRPr="009F3242">
        <w:t xml:space="preserve"> primary, secondary as well as initial teacher training completed during a period where the emphasis was on teacher-centred traditional approaches and not on self-directed learning in constructivist teaching and learning approaches. It is therefore not surprising that many of these students still expect and rely on direct teaching and contact with lecturers. </w:t>
      </w:r>
    </w:p>
    <w:p w:rsidR="007600EB" w:rsidRPr="009F3242" w:rsidRDefault="007600EB" w:rsidP="007600EB">
      <w:r w:rsidRPr="009F3242">
        <w:t>Many of these students</w:t>
      </w:r>
      <w:r>
        <w:t xml:space="preserve"> (71</w:t>
      </w:r>
      <w:r w:rsidR="00DA47D3">
        <w:t>.</w:t>
      </w:r>
      <w:r>
        <w:t>6%)</w:t>
      </w:r>
      <w:r w:rsidRPr="009F3242">
        <w:t xml:space="preserve"> study in their second or third language; consequently English as the language of instruction has implications for learning since the study material is only available in English and Afrikaans and they have poor English language proficiency</w:t>
      </w:r>
      <w:r>
        <w:t xml:space="preserve"> </w:t>
      </w:r>
      <w:r w:rsidRPr="00B94BF1">
        <w:t>(Geduld, 2011:220).</w:t>
      </w:r>
      <w:r w:rsidR="00DA47D3">
        <w:t xml:space="preserve"> </w:t>
      </w:r>
      <w:r w:rsidRPr="009F3242">
        <w:t xml:space="preserve">The students view English as </w:t>
      </w:r>
      <w:r w:rsidR="00DA47D3">
        <w:t>the l</w:t>
      </w:r>
      <w:r w:rsidRPr="009F3242">
        <w:t>anguage of instruction as a barrier in their studies. Despite the high rate of computer literacy among students, many indicated in personal conversations and in previous research that they do not have access to the Internet at home. Although some students could possibly have Internet facilities in the areas they live, as indicated by literature (Ferreira and Venter</w:t>
      </w:r>
      <w:r>
        <w:t>,</w:t>
      </w:r>
      <w:r w:rsidRPr="009F3242">
        <w:t xml:space="preserve"> 2011</w:t>
      </w:r>
      <w:r>
        <w:t>:88</w:t>
      </w:r>
      <w:r w:rsidRPr="009F3242">
        <w:t xml:space="preserve">) and judging from conversations and the large number of handwritten assignments the </w:t>
      </w:r>
      <w:r>
        <w:t>tutors</w:t>
      </w:r>
      <w:r w:rsidRPr="009F3242">
        <w:t xml:space="preserve"> receive, some still experience problems with access, costs, and the use of technology. It is clear that despite the rapid development in ODL delivery, </w:t>
      </w:r>
      <w:r>
        <w:t>the North West University</w:t>
      </w:r>
      <w:r w:rsidRPr="009F3242">
        <w:t xml:space="preserve"> </w:t>
      </w:r>
      <w:r>
        <w:t>is</w:t>
      </w:r>
      <w:r w:rsidRPr="009F3242">
        <w:t xml:space="preserve"> still hampered by social, economic and cultural contexts of their ODL students.</w:t>
      </w:r>
    </w:p>
    <w:p w:rsidR="007600EB" w:rsidRPr="009F3242" w:rsidRDefault="007600EB" w:rsidP="007600EB">
      <w:r w:rsidRPr="009F3242">
        <w:t>An important contextual aspect is the unfavourable conditions in which students in rural areas study. Many students share two-bedroom houses with ot</w:t>
      </w:r>
      <w:r w:rsidR="00CF3383">
        <w:t>her adults and children, which lesse</w:t>
      </w:r>
      <w:r w:rsidR="00CF3383" w:rsidRPr="009F3242">
        <w:t>ns</w:t>
      </w:r>
      <w:r w:rsidRPr="009F3242">
        <w:t xml:space="preserve"> privacy and favourable study conditions. </w:t>
      </w:r>
      <w:r w:rsidR="00CF3383" w:rsidRPr="009F3242">
        <w:t xml:space="preserve">Often </w:t>
      </w:r>
      <w:r w:rsidR="00CF3383">
        <w:t>t</w:t>
      </w:r>
      <w:r w:rsidRPr="009F3242">
        <w:t>here are no schools or libraries that can serve as possible study places</w:t>
      </w:r>
      <w:r>
        <w:t>.</w:t>
      </w:r>
    </w:p>
    <w:p w:rsidR="007600EB" w:rsidRPr="005478E6" w:rsidRDefault="007600EB" w:rsidP="003E7D5E">
      <w:pPr>
        <w:pStyle w:val="Heading7"/>
      </w:pPr>
      <w:r>
        <w:t>The problem of i</w:t>
      </w:r>
      <w:r w:rsidRPr="005478E6">
        <w:t>solation</w:t>
      </w:r>
    </w:p>
    <w:p w:rsidR="007600EB" w:rsidRPr="009F3242" w:rsidRDefault="007600EB" w:rsidP="007600EB">
      <w:r w:rsidRPr="009F3242">
        <w:t>Croft, Dalton and Grant</w:t>
      </w:r>
      <w:r>
        <w:t xml:space="preserve"> </w:t>
      </w:r>
      <w:r w:rsidRPr="009F3242">
        <w:t>(2011</w:t>
      </w:r>
      <w:r>
        <w:t>:18</w:t>
      </w:r>
      <w:r w:rsidRPr="009F3242">
        <w:t xml:space="preserve">) explain isolation in terms of dimensions as time (concurrent study), space (geographical dispersion), social (awareness of others), intellectual/experience (academic ability and life experiences) profession (subject related </w:t>
      </w:r>
      <w:r w:rsidR="0036178C">
        <w:t>Expertise</w:t>
      </w:r>
      <w:r w:rsidRPr="009F3242">
        <w:t>); ICT knowledge; sensory (ability to see/feel/hear peers). Psychological isolation may result from the physical and temporal isolation experienced by learning at a distance.</w:t>
      </w:r>
    </w:p>
    <w:p w:rsidR="007600EB" w:rsidRPr="009F3242" w:rsidRDefault="007600EB" w:rsidP="007600EB">
      <w:r w:rsidRPr="009F3242">
        <w:t xml:space="preserve">Time isolation refers to isolation experienced when students are the only ones studying a specific course at a specific time. Many students experience this isolation when there are no other students enrolled for a specific module at the same time. Students may feel as if they are the only person doing the course, which may be correct given the geographical location of the student. Time isolation hinders the social presence required in ODL and a social constructivist approach and learning over a distance is then experienced as a lonely, individual process. </w:t>
      </w:r>
    </w:p>
    <w:p w:rsidR="007600EB" w:rsidRPr="009F3242" w:rsidRDefault="007600EB" w:rsidP="007600EB">
      <w:r w:rsidRPr="009F3242">
        <w:t>Geographical isolation and lack of awareness how to contact other students cause frustration and is frequently reported by students in the BEd Honours program. Despite initiatives of</w:t>
      </w:r>
      <w:r>
        <w:t xml:space="preserve"> the North West University </w:t>
      </w:r>
      <w:r w:rsidRPr="009F3242">
        <w:t>to bridge the distance between lecturers and administration staff the absence of interaction with lecturers and other students in the learning environment</w:t>
      </w:r>
      <w:r>
        <w:t xml:space="preserve"> </w:t>
      </w:r>
      <w:r w:rsidRPr="009F3242">
        <w:t>remain a main barrier for many ODL students because of access to technology or absence of technological skills. The social and active process where students need collaboration and interaction with other people becomes problematic when students lack the educational experience of interaction to share ideas, clarify uncertainties, and learn from one another (Anderson &amp; Dron, 2011</w:t>
      </w:r>
      <w:r>
        <w:t>:85)</w:t>
      </w:r>
      <w:r w:rsidRPr="009F3242">
        <w:t>. In the context of the students in this program it is worsened by students’ poor English language proficiency that inhibits them from asking questions in class and over interactive whiteboards as well as taking part in discussions.</w:t>
      </w:r>
    </w:p>
    <w:p w:rsidR="007600EB" w:rsidRPr="009F3242" w:rsidRDefault="007600EB" w:rsidP="007600EB">
      <w:r w:rsidRPr="009F3242">
        <w:t xml:space="preserve">For lecturers the physical and social isolation complicates the design and use of group assignments, group discussions, cooperative learning experiences, hands-on field experiences, </w:t>
      </w:r>
      <w:r w:rsidRPr="009F3242">
        <w:lastRenderedPageBreak/>
        <w:t>real</w:t>
      </w:r>
      <w:r w:rsidR="00CF3383">
        <w:t>-</w:t>
      </w:r>
      <w:r w:rsidRPr="009F3242">
        <w:t xml:space="preserve">life problem-based activities and other active learning strategies. It is only at the limited, non-voluntarily face-to-face contact sessions where group discussions and cooperative learning experiences can be applied and where students are able to compare notes with other students, exchange ideas </w:t>
      </w:r>
      <w:r>
        <w:t>with</w:t>
      </w:r>
      <w:r w:rsidRPr="009F3242">
        <w:t xml:space="preserve"> others and gauge their reactions, and listen to what others are thinking in order to compare it to their own ideas. Peer reviews of work cannot be set up to encourage further thinking because of the limited time on the timetable for each module. Active learning implies active engagement which is characterized by interaction </w:t>
      </w:r>
      <w:r w:rsidR="00CF3383">
        <w:t>with</w:t>
      </w:r>
      <w:r w:rsidRPr="009F3242">
        <w:t xml:space="preserve"> lecturers and other students</w:t>
      </w:r>
      <w:r w:rsidR="00CF3383">
        <w:t>;</w:t>
      </w:r>
      <w:r w:rsidRPr="009F3242">
        <w:t xml:space="preserve"> talks and discussions where students can come up with new ideas and test out new ideas in the workplace to bring about personal growth (Amstutz, 2009:32). In ODL limited active engagement is taking place. </w:t>
      </w:r>
    </w:p>
    <w:p w:rsidR="007600EB" w:rsidRPr="009F3242" w:rsidRDefault="007600EB" w:rsidP="007600EB">
      <w:r w:rsidRPr="009F3242">
        <w:t xml:space="preserve">Technological isolation refers to challenges for many students when there is limited or no access to Internet, electricity and telephone networks. Where these do not exist, students do not possess and </w:t>
      </w:r>
      <w:r w:rsidR="00CF3383">
        <w:t xml:space="preserve">cannot </w:t>
      </w:r>
      <w:r w:rsidRPr="009F3242">
        <w:t xml:space="preserve">utilise information technology skills and do not have expertise in using computers </w:t>
      </w:r>
      <w:r w:rsidR="00CF3383">
        <w:t>to</w:t>
      </w:r>
      <w:r w:rsidRPr="009F3242">
        <w:t xml:space="preserve"> search online resources. This type of isolation is frequently experienced by students in rural areas</w:t>
      </w:r>
      <w:r>
        <w:t xml:space="preserve"> at the North West University</w:t>
      </w:r>
      <w:r w:rsidRPr="009F3242">
        <w:t>.</w:t>
      </w:r>
    </w:p>
    <w:p w:rsidR="007600EB" w:rsidRPr="009F3242" w:rsidRDefault="007600EB" w:rsidP="007600EB">
      <w:r w:rsidRPr="009F3242">
        <w:t xml:space="preserve">Sensory isolation refers to the </w:t>
      </w:r>
      <w:r w:rsidR="00CF3383">
        <w:t>level of</w:t>
      </w:r>
      <w:r w:rsidRPr="009F3242">
        <w:t xml:space="preserve"> communication individual students prefer. Most students in the BEd Honours programme prefer face-to-face contact with other students and lecturers because the inability to experience either people or places first</w:t>
      </w:r>
      <w:r w:rsidR="00CF3383">
        <w:t>-</w:t>
      </w:r>
      <w:r w:rsidRPr="009F3242">
        <w:t xml:space="preserve">hand is a particularly difficult issue for them </w:t>
      </w:r>
      <w:r w:rsidRPr="00004BF3">
        <w:t>(Van Zyl et al., 2013: 92).</w:t>
      </w:r>
      <w:r w:rsidRPr="009F3242">
        <w:t xml:space="preserve"> While communication via electronic media can be encouraged, for many students it does not completely replace hearing a human voice or seeing another person. Many students prefer synchronous interactivity because it creates an intimate learning environment and contributes to natural, social contact that is an important requirement for adult learners. Humanising the ODL courses is thus considered an important element to increase the social aspects of interaction.</w:t>
      </w:r>
    </w:p>
    <w:p w:rsidR="007600EB" w:rsidRPr="009F3242" w:rsidRDefault="007600EB" w:rsidP="007600EB">
      <w:r w:rsidRPr="009F3242">
        <w:t xml:space="preserve">Intellectual or experience isolation </w:t>
      </w:r>
      <w:r>
        <w:t>refers to</w:t>
      </w:r>
      <w:r w:rsidRPr="009F3242">
        <w:t xml:space="preserve"> students who feel isolated by their intellectual or academic experiences and limited prior knowledge. The diversity of ODL students’ backgrounds means that although different students undertake a course or are from the same teaching profession, their levels of knowledge and experience might be very different. It has been noted by many</w:t>
      </w:r>
      <w:r>
        <w:t xml:space="preserve"> ODL </w:t>
      </w:r>
      <w:r w:rsidRPr="009F3242">
        <w:t xml:space="preserve">lecturers </w:t>
      </w:r>
      <w:r>
        <w:t xml:space="preserve">that </w:t>
      </w:r>
      <w:r w:rsidRPr="009F3242">
        <w:t>these students with limited prior knowledge and experience cannot relate new material to what they already know, and therefore tend to memorise rather than develop any real understanding of the content in their courses.</w:t>
      </w:r>
    </w:p>
    <w:p w:rsidR="007600EB" w:rsidRDefault="007600EB" w:rsidP="007600EB">
      <w:r w:rsidRPr="009F3242">
        <w:t>Real life experiences and prior knowledge play a pivotal role in social constructivist learning. The teaching implication here is to learn about your students’ experiences, preconceptions or misconceptions by using pre-tests, background knowledge probes and written or oral activities designed to reveal students’ thinking about the topic. This teaching strategy is not possible with the limited contact lecturers have with their ODL students. Cretchely and Castle (2001</w:t>
      </w:r>
      <w:r>
        <w:t>:494</w:t>
      </w:r>
      <w:r w:rsidRPr="009F3242">
        <w:t>) furthermore warn that many learning theories put too much focus on the importance of experience to learn and do not to keep in mind that the quantity of experience is not necessarily equal to the depth, richness and intensity of experience. Individuals can, for example, have many years experiences from which there is not necessarily good, relevant knowledge and skills (</w:t>
      </w:r>
      <w:r w:rsidRPr="00B94BF1">
        <w:t>Brookfield, 1995).</w:t>
      </w:r>
      <w:r w:rsidRPr="009F3242">
        <w:t xml:space="preserve"> Experience can also be an obstacle if ODL students’ previous teaching and learning experiences are characterized by passive learning. Such students prefer and expect the traditional teacher-centered teaching approach. If they are not taught according to the traditional teacher-centered approach, they become frustrated and negative, especially the students who have not been involved with formal studies for a long time (Gravett, 2004:8). Many adult learners</w:t>
      </w:r>
      <w:r>
        <w:t>’ learning</w:t>
      </w:r>
      <w:r w:rsidRPr="009F3242">
        <w:t xml:space="preserve"> are unstructured and need much advice and guidance, because they are easily distracted by their own needs, assumptions, values and misconceptions when they must work independently, have little </w:t>
      </w:r>
      <w:r w:rsidR="003E7D5E" w:rsidRPr="009F3242">
        <w:t>self-confidence</w:t>
      </w:r>
      <w:r w:rsidRPr="009F3242">
        <w:t xml:space="preserve">, and do not have the necessary resources to learn independently </w:t>
      </w:r>
      <w:r w:rsidRPr="00524C3B">
        <w:t>(Conlan et al., 2008).</w:t>
      </w:r>
      <w:r w:rsidRPr="009F3242">
        <w:t xml:space="preserve"> </w:t>
      </w:r>
    </w:p>
    <w:p w:rsidR="007600EB" w:rsidRDefault="007600EB" w:rsidP="007600EB">
      <w:r w:rsidRPr="009F3242">
        <w:lastRenderedPageBreak/>
        <w:t>Contra</w:t>
      </w:r>
      <w:r w:rsidR="00CF3383">
        <w:t>ry</w:t>
      </w:r>
      <w:r w:rsidRPr="009F3242">
        <w:t xml:space="preserve"> to existing literature, experience with ODL students’ indicate</w:t>
      </w:r>
      <w:r>
        <w:t>s</w:t>
      </w:r>
      <w:r w:rsidRPr="009F3242">
        <w:t xml:space="preserve"> that they seldom use self-directed learning skills </w:t>
      </w:r>
      <w:r w:rsidR="00CF3383">
        <w:t>such as</w:t>
      </w:r>
      <w:r w:rsidRPr="009F3242">
        <w:t xml:space="preserve"> task analysis, goal setting and strategic planning. Many students do not meet the requirements to work confidently, independently and self-directed with well</w:t>
      </w:r>
      <w:r w:rsidR="003E7D5E">
        <w:t>-</w:t>
      </w:r>
      <w:r w:rsidRPr="009F3242">
        <w:t>structured learning material and less support from lecturers. Students’ cognitive readiness for SDL and constructivist learning approaches, their own self-efficacy regarding their critical thinking abilities, their expectation of direct instruction where lecturers provide intellectual and scholarly leadership and share their subject knowledge</w:t>
      </w:r>
      <w:r w:rsidR="00CF3383">
        <w:t>. T</w:t>
      </w:r>
      <w:r w:rsidRPr="009F3242">
        <w:t>heir limited proficiency in English as academic language hinders questioning from students</w:t>
      </w:r>
      <w:r w:rsidR="008E07F1">
        <w:t>,</w:t>
      </w:r>
      <w:r w:rsidRPr="009F3242">
        <w:t xml:space="preserve"> inhibit</w:t>
      </w:r>
      <w:r w:rsidR="00CF3383">
        <w:t>s</w:t>
      </w:r>
      <w:r w:rsidRPr="009F3242">
        <w:t xml:space="preserve"> their participati</w:t>
      </w:r>
      <w:r w:rsidR="00CF3383">
        <w:t>on</w:t>
      </w:r>
      <w:r w:rsidRPr="009F3242">
        <w:t xml:space="preserve"> in discussions</w:t>
      </w:r>
      <w:r w:rsidR="008E07F1">
        <w:t>, and present</w:t>
      </w:r>
      <w:r w:rsidRPr="009F3242">
        <w:t xml:space="preserve"> challenges for the development of self-</w:t>
      </w:r>
      <w:r>
        <w:t>directed</w:t>
      </w:r>
      <w:r w:rsidRPr="009F3242">
        <w:t xml:space="preserve"> learning.</w:t>
      </w:r>
    </w:p>
    <w:p w:rsidR="007600EB" w:rsidRDefault="007600EB" w:rsidP="007600EB">
      <w:r w:rsidRPr="009F3242">
        <w:t>Many students rely more on external regulation from lecturers and peers and not on their self-directed learning skills to achieve academic success</w:t>
      </w:r>
      <w:r>
        <w:t xml:space="preserve"> </w:t>
      </w:r>
      <w:r w:rsidRPr="0061741B">
        <w:t>(Geduld</w:t>
      </w:r>
      <w:r>
        <w:t>,</w:t>
      </w:r>
      <w:r w:rsidRPr="0061741B">
        <w:t xml:space="preserve"> 2011:</w:t>
      </w:r>
      <w:r>
        <w:t>279)</w:t>
      </w:r>
      <w:r w:rsidRPr="009F3242">
        <w:t>. External regulation is a form of support where educators compensate for students with poor self-</w:t>
      </w:r>
      <w:r>
        <w:t xml:space="preserve">directed </w:t>
      </w:r>
      <w:r w:rsidRPr="009F3242">
        <w:t>skills, and because of maximum external support students do not experience first</w:t>
      </w:r>
      <w:r w:rsidR="008E07F1">
        <w:t>-</w:t>
      </w:r>
      <w:r w:rsidRPr="009F3242">
        <w:t>hand the benefits of</w:t>
      </w:r>
      <w:r w:rsidRPr="00524C3B">
        <w:t xml:space="preserve"> </w:t>
      </w:r>
      <w:r w:rsidRPr="009F3242">
        <w:t>self-</w:t>
      </w:r>
      <w:r>
        <w:t xml:space="preserve">directed and </w:t>
      </w:r>
      <w:r w:rsidRPr="009F3242">
        <w:t>self-regulated learning skills to develop as lifelong learners.</w:t>
      </w:r>
    </w:p>
    <w:p w:rsidR="007600EB" w:rsidRDefault="007600EB" w:rsidP="007600EB">
      <w:r w:rsidRPr="009F3242">
        <w:t>This use of peer learning is ineffective and in contrast to the requirement that ODL students must have the ability to work independently. On the other hand (Makoe</w:t>
      </w:r>
      <w:r>
        <w:t>,</w:t>
      </w:r>
      <w:r w:rsidRPr="009F3242">
        <w:t xml:space="preserve"> 2012, 73) argues from an African perspective that in most African cultures, reliance on peers and group interaction is a strong factor determining values and social interaction. Learning in support groups is rooted in cultural beliefs and practices. The challenge is evident that some students find it difficult to step out of their own culture of learning and to enter into the culture of ODL institutions where independent learning is required. Peer learning is more effective when students work independently and thereafter share ideas, strategies and opinions with peers to master the subject content and to gain deeper insight in the knowledge (</w:t>
      </w:r>
      <w:r>
        <w:t>Geduld</w:t>
      </w:r>
      <w:r w:rsidRPr="009F3242">
        <w:t>, 2011</w:t>
      </w:r>
      <w:r>
        <w:t>:</w:t>
      </w:r>
      <w:r w:rsidRPr="009F3242">
        <w:t xml:space="preserve"> 251).</w:t>
      </w:r>
    </w:p>
    <w:p w:rsidR="007600EB" w:rsidRPr="005478E6" w:rsidRDefault="007600EB" w:rsidP="003E7D5E">
      <w:pPr>
        <w:pStyle w:val="Heading7"/>
      </w:pPr>
      <w:r>
        <w:t>R</w:t>
      </w:r>
      <w:r w:rsidRPr="005478E6">
        <w:t>ecommendations</w:t>
      </w:r>
    </w:p>
    <w:p w:rsidR="008E07F1" w:rsidRDefault="007600EB" w:rsidP="007600EB">
      <w:r w:rsidRPr="009F3242">
        <w:t xml:space="preserve">Many lecturers complain that students are not self-directed </w:t>
      </w:r>
      <w:r>
        <w:t>learners</w:t>
      </w:r>
      <w:r w:rsidRPr="009F3242">
        <w:t>, but they fail to recognise the impact that their own courses have on cultivating those lifelong learning skills (Nantz &amp; Klaf, 2012</w:t>
      </w:r>
      <w:r>
        <w:t>:1</w:t>
      </w:r>
      <w:r w:rsidRPr="009F3242">
        <w:t xml:space="preserve">). Classroom experiences, assignments and </w:t>
      </w:r>
      <w:r>
        <w:t>modules</w:t>
      </w:r>
      <w:r w:rsidRPr="009F3242">
        <w:t xml:space="preserve"> that are carefully constructed can help students to </w:t>
      </w:r>
      <w:r>
        <w:t xml:space="preserve">develop and to </w:t>
      </w:r>
      <w:r w:rsidRPr="009F3242">
        <w:t xml:space="preserve">step into new roles as students </w:t>
      </w:r>
      <w:r>
        <w:t>who take</w:t>
      </w:r>
      <w:r w:rsidRPr="009F3242">
        <w:t xml:space="preserve"> responsib</w:t>
      </w:r>
      <w:r>
        <w:t>ility</w:t>
      </w:r>
      <w:r w:rsidRPr="009F3242">
        <w:t xml:space="preserve"> for their own learning</w:t>
      </w:r>
      <w:r>
        <w:t>.</w:t>
      </w:r>
      <w:r w:rsidRPr="009F3242">
        <w:t xml:space="preserve"> </w:t>
      </w:r>
    </w:p>
    <w:p w:rsidR="007600EB" w:rsidRDefault="007600EB" w:rsidP="007600EB">
      <w:r>
        <w:t>The following strategies are recommended to develop self-directed learning in ODL</w:t>
      </w:r>
      <w:r w:rsidR="008E07F1">
        <w:t>:</w:t>
      </w:r>
    </w:p>
    <w:p w:rsidR="007600EB" w:rsidRPr="009F3242" w:rsidRDefault="007600EB" w:rsidP="008E07F1">
      <w:pPr>
        <w:ind w:left="360"/>
      </w:pPr>
      <w:r>
        <w:t>P</w:t>
      </w:r>
      <w:r w:rsidRPr="009F3242">
        <w:t xml:space="preserve">rovide opportunities for students to connect with content in a variety of meaningful ways by using cooperative learning, interactive lectures engaging assignments, hands-on field experiences, real life problem-based activities and other active learning strategies. Students learn with greater understanding when they share ideas through conversation, debate and negotiation. Explaining a concept to one’s peers puts knowledge to a public test where it can be examined, reshaped and clarified. Learning should be situated in realistic settings; testing should be integrated with the task and not a separate activity. Sometimes peer review can be set up to encourage further thinking. </w:t>
      </w:r>
    </w:p>
    <w:p w:rsidR="007600EB" w:rsidRPr="009F3242" w:rsidRDefault="007600EB" w:rsidP="008E07F1">
      <w:pPr>
        <w:ind w:left="360"/>
      </w:pPr>
      <w:r w:rsidRPr="009F3242">
        <w:t xml:space="preserve">Lecturers should not assume that all students are self-directed </w:t>
      </w:r>
      <w:r w:rsidR="008E07F1">
        <w:t>and</w:t>
      </w:r>
      <w:r w:rsidRPr="009F3242">
        <w:t xml:space="preserve"> know how to plan, regulate, monitor and evaluate their own learning. It is essential that instructional methods and teaching strategies are expanded to guide students in the use of SDL strategies.</w:t>
      </w:r>
    </w:p>
    <w:p w:rsidR="007600EB" w:rsidRPr="00A4622E" w:rsidRDefault="007600EB" w:rsidP="008E07F1">
      <w:pPr>
        <w:ind w:left="360"/>
      </w:pPr>
      <w:r>
        <w:t>When one c</w:t>
      </w:r>
      <w:r w:rsidRPr="009F3242">
        <w:t>reat</w:t>
      </w:r>
      <w:r>
        <w:t>es</w:t>
      </w:r>
      <w:r w:rsidRPr="009F3242">
        <w:t xml:space="preserve"> an atmosphere </w:t>
      </w:r>
      <w:r w:rsidRPr="00A4622E">
        <w:t xml:space="preserve">or a personal approach </w:t>
      </w:r>
      <w:r w:rsidRPr="009F3242">
        <w:t>that fosters the use of</w:t>
      </w:r>
      <w:r w:rsidRPr="00A4622E">
        <w:t xml:space="preserve"> SDL and social constructiv</w:t>
      </w:r>
      <w:r>
        <w:t>i</w:t>
      </w:r>
      <w:r w:rsidRPr="00A4622E">
        <w:t>st approaches</w:t>
      </w:r>
      <w:r>
        <w:t xml:space="preserve"> st</w:t>
      </w:r>
      <w:r w:rsidRPr="00A4622E">
        <w:t xml:space="preserve">udents </w:t>
      </w:r>
      <w:r>
        <w:t>will</w:t>
      </w:r>
      <w:r w:rsidRPr="00A4622E">
        <w:t xml:space="preserve"> know </w:t>
      </w:r>
      <w:r>
        <w:t xml:space="preserve">that </w:t>
      </w:r>
      <w:r w:rsidRPr="00A4622E">
        <w:t>their views are respected as individuals when working in groups or in discussions with lecturers (Schunk et al., 2014</w:t>
      </w:r>
      <w:r>
        <w:t>:311</w:t>
      </w:r>
      <w:r w:rsidRPr="00A4622E">
        <w:t xml:space="preserve">). </w:t>
      </w:r>
    </w:p>
    <w:p w:rsidR="007600EB" w:rsidRPr="00A4622E" w:rsidRDefault="007600EB" w:rsidP="008E07F1">
      <w:pPr>
        <w:ind w:left="360"/>
      </w:pPr>
      <w:r w:rsidRPr="00A4622E">
        <w:lastRenderedPageBreak/>
        <w:t>Not all students have the ability to read critically and work through study material independently, especially students’ with poor English language proficiency. These students can benefit from mental modelling in class with face-to</w:t>
      </w:r>
      <w:r w:rsidR="008E07F1">
        <w:t>-</w:t>
      </w:r>
      <w:r w:rsidRPr="00A4622E">
        <w:t xml:space="preserve">face contact, on dvd’s, </w:t>
      </w:r>
      <w:r w:rsidR="008E07F1">
        <w:t xml:space="preserve">and </w:t>
      </w:r>
      <w:r w:rsidRPr="00A4622E">
        <w:t xml:space="preserve">with </w:t>
      </w:r>
      <w:r w:rsidR="008E07F1">
        <w:t>i</w:t>
      </w:r>
      <w:r w:rsidRPr="00A4622E">
        <w:t>nteractive whiteboard sessions. Mental modelling also called “Think alouds” or cognitive modeling is a strategy where the lecturer verbalises his/her thoughts aloud while problem solving thus providing an effective example of how tasks should be analysed</w:t>
      </w:r>
      <w:r w:rsidR="008E07F1">
        <w:t xml:space="preserve"> and</w:t>
      </w:r>
      <w:r w:rsidRPr="00A4622E">
        <w:t xml:space="preserve"> which strategies </w:t>
      </w:r>
      <w:r w:rsidR="008E07F1">
        <w:t>to</w:t>
      </w:r>
      <w:r w:rsidRPr="00A4622E">
        <w:t xml:space="preserve"> select and appl</w:t>
      </w:r>
      <w:r w:rsidR="008E07F1">
        <w:t>y. R</w:t>
      </w:r>
      <w:r w:rsidRPr="00A4622E">
        <w:t>esources and help seeking should be demonstrated</w:t>
      </w:r>
      <w:r w:rsidR="008E07F1">
        <w:t xml:space="preserve"> including</w:t>
      </w:r>
      <w:r w:rsidRPr="00A4622E">
        <w:t xml:space="preserve"> how to activate prior knowledge, planning activities beforehand, monitoring understanding and progress whilst completing the task and evaluating outcomes and reflecting upon one’s learning activities. When lecture</w:t>
      </w:r>
      <w:r w:rsidR="008E07F1">
        <w:t>r</w:t>
      </w:r>
      <w:r w:rsidRPr="00A4622E">
        <w:t>s demonstrate the use of SDL and metacognitive strategies by means of mental modelling</w:t>
      </w:r>
      <w:r w:rsidR="008E07F1">
        <w:t>,</w:t>
      </w:r>
      <w:r w:rsidRPr="00A4622E">
        <w:t xml:space="preserve"> students should also be encouraged to question </w:t>
      </w:r>
      <w:r w:rsidR="008E07F1">
        <w:t xml:space="preserve">the </w:t>
      </w:r>
      <w:r w:rsidRPr="00A4622E">
        <w:t>strategies used</w:t>
      </w:r>
      <w:r>
        <w:t>.</w:t>
      </w:r>
      <w:r w:rsidRPr="00A4622E">
        <w:t xml:space="preserve"> Cognitive learning strategies e.g underlining, highlighting, use of concept mapping should be illustrated so that students can be introduced to these strategies when they have to work through all the textual information in their courses. Students must be encouraged to do the same when completing tasks individually or in group work</w:t>
      </w:r>
      <w:r>
        <w:t>.</w:t>
      </w:r>
      <w:r w:rsidRPr="00A4622E">
        <w:t xml:space="preserve"> </w:t>
      </w:r>
    </w:p>
    <w:p w:rsidR="007600EB" w:rsidRPr="00A4622E" w:rsidRDefault="007600EB" w:rsidP="008E07F1">
      <w:pPr>
        <w:ind w:left="360"/>
      </w:pPr>
      <w:r w:rsidRPr="00A4622E">
        <w:t>Lecturers should model strategies that include all the decision making processes like when, where, why strategies and make suggestions how students can monitor and evaluate their progress for example by rereading, self-questioning asking themselves how they will attempt a similar task in future.</w:t>
      </w:r>
    </w:p>
    <w:p w:rsidR="007600EB" w:rsidRPr="00A4622E" w:rsidRDefault="007600EB" w:rsidP="008E07F1">
      <w:pPr>
        <w:ind w:left="360"/>
      </w:pPr>
      <w:r w:rsidRPr="00A4622E">
        <w:t xml:space="preserve">Dialogue is </w:t>
      </w:r>
      <w:r>
        <w:t>a</w:t>
      </w:r>
      <w:r w:rsidRPr="00A4622E">
        <w:t>n opportunity to develop self-</w:t>
      </w:r>
      <w:r>
        <w:t>directed</w:t>
      </w:r>
      <w:r w:rsidRPr="00A4622E">
        <w:t xml:space="preserve"> skills because students are then exposed to their peers’ thinking processes</w:t>
      </w:r>
      <w:r>
        <w:t>. T</w:t>
      </w:r>
      <w:r w:rsidRPr="00A4622E">
        <w:t xml:space="preserve">hey hear other students’ inner speech out loud and can learn different approaches to solve a problem. The waiting time between discussions also provides time for reflection. Learning in support groups is embedded in cultural beliefs and practices of </w:t>
      </w:r>
      <w:r>
        <w:t xml:space="preserve">South African </w:t>
      </w:r>
      <w:r w:rsidRPr="00A4622E">
        <w:t xml:space="preserve">students. </w:t>
      </w:r>
      <w:r>
        <w:t xml:space="preserve">This </w:t>
      </w:r>
      <w:r w:rsidRPr="00A4622E">
        <w:t>ODL institution</w:t>
      </w:r>
      <w:r>
        <w:t xml:space="preserve"> should</w:t>
      </w:r>
      <w:r w:rsidRPr="00A4622E">
        <w:t xml:space="preserve"> </w:t>
      </w:r>
      <w:r>
        <w:t xml:space="preserve">therefore </w:t>
      </w:r>
      <w:r w:rsidRPr="00A4622E">
        <w:t xml:space="preserve">facilitate the forming of study groups through social networks that are developed by the university. </w:t>
      </w:r>
      <w:r>
        <w:t>The lecturer could ask</w:t>
      </w:r>
      <w:r w:rsidRPr="00A4622E">
        <w:t xml:space="preserve"> students to send in their profiles so that </w:t>
      </w:r>
      <w:r>
        <w:t>he/she</w:t>
      </w:r>
      <w:r w:rsidRPr="00A4622E">
        <w:t xml:space="preserve"> can link them up with other students in the same area. </w:t>
      </w:r>
      <w:r>
        <w:t>Lecturers could also i</w:t>
      </w:r>
      <w:r w:rsidRPr="00A4622E">
        <w:t>nclude assignments, projects for small groups to satisfy students’ needs for social interaction and group learning.</w:t>
      </w:r>
    </w:p>
    <w:p w:rsidR="007600EB" w:rsidRPr="00A4622E" w:rsidRDefault="007600EB" w:rsidP="008E07F1">
      <w:pPr>
        <w:ind w:left="360"/>
      </w:pPr>
      <w:r>
        <w:t>Lecturers c</w:t>
      </w:r>
      <w:r w:rsidR="008E07F1">
        <w:t>an</w:t>
      </w:r>
      <w:r>
        <w:t xml:space="preserve"> t</w:t>
      </w:r>
      <w:r w:rsidRPr="00A4622E">
        <w:t>each students to reflect on their work before or after sessions</w:t>
      </w:r>
      <w:r w:rsidRPr="0045092E">
        <w:t xml:space="preserve"> </w:t>
      </w:r>
      <w:r>
        <w:t>by letting</w:t>
      </w:r>
      <w:r w:rsidRPr="00A4622E">
        <w:t xml:space="preserve"> </w:t>
      </w:r>
      <w:r>
        <w:t>them</w:t>
      </w:r>
      <w:r w:rsidRPr="00A4622E">
        <w:t xml:space="preserve"> comment on what was new, interesting, vague or difficult in their learning tasks. </w:t>
      </w:r>
    </w:p>
    <w:p w:rsidR="007600EB" w:rsidRPr="00A4622E" w:rsidRDefault="007600EB" w:rsidP="008E07F1">
      <w:pPr>
        <w:ind w:left="360"/>
      </w:pPr>
      <w:r w:rsidRPr="00A4622E">
        <w:t>Different types of feedback should be used in instruction and with written work of students because it has an important influence on student learning</w:t>
      </w:r>
      <w:r>
        <w:t xml:space="preserve"> and it might</w:t>
      </w:r>
      <w:r w:rsidRPr="00A4622E">
        <w:t xml:space="preserve"> influence students’ use of self-</w:t>
      </w:r>
      <w:r>
        <w:t>directed learning skills</w:t>
      </w:r>
      <w:r w:rsidRPr="00A4622E">
        <w:t>.</w:t>
      </w:r>
    </w:p>
    <w:p w:rsidR="007600EB" w:rsidRPr="00A4622E" w:rsidRDefault="007600EB" w:rsidP="008E07F1">
      <w:pPr>
        <w:ind w:left="360"/>
      </w:pPr>
      <w:r w:rsidRPr="00A4622E">
        <w:t>By using portfolios</w:t>
      </w:r>
      <w:r w:rsidR="00972E7D">
        <w:t>,</w:t>
      </w:r>
      <w:r w:rsidRPr="00A4622E">
        <w:t xml:space="preserve"> the common problem of plagiarism of assignments can be avoided. Using portfolios students have the opportunity to relate their knowledge and experience to the new information and do not have to rely on prescribed study material only and secondary texts as resources.</w:t>
      </w:r>
    </w:p>
    <w:p w:rsidR="007600EB" w:rsidRPr="00A4622E" w:rsidRDefault="007600EB" w:rsidP="008E07F1">
      <w:pPr>
        <w:ind w:left="360"/>
      </w:pPr>
      <w:r w:rsidRPr="00A4622E">
        <w:t xml:space="preserve">Assessment guides the curriculum and plays a critical role in choices of what lecturers choose to be taught and how content is taught, and on the other hand the assessment methods lecturers use determine what and how students study. Both lecturers and students concentrate on aspects that will be assessed and ignore aspects that will not be assessed, irrespective of outcomes and goals indicated in the students’ study material. When assessing written work </w:t>
      </w:r>
      <w:r>
        <w:t xml:space="preserve">lecturers could </w:t>
      </w:r>
      <w:r w:rsidRPr="00A4622E">
        <w:t>ask student</w:t>
      </w:r>
      <w:r>
        <w:t>s</w:t>
      </w:r>
      <w:r w:rsidRPr="00A4622E">
        <w:t xml:space="preserve"> to describe their thinking processes. This will also provide them with opportunities to reflect on their motivation, their task analysis and strategies they used to complete tasks. Students will know they will be assessed on other facets than the knowledge facet of their academic work, for example also on good task analysis, goal setting applied, monitoring and evaluation of their comprehension and progress. While completing learning tasks they will become aware of and concentrate on these skills too. What gets assessed gets </w:t>
      </w:r>
      <w:r w:rsidRPr="00A4622E">
        <w:lastRenderedPageBreak/>
        <w:t>done. If instruction and assessment only emphasizes rote learning and other forms of short term memory retrieval strategies it will be less effective at promoting self-regulated and metacognitive awareness or meaningful learning than instruction that incorporates ways of manipulating existing information such as using it to create a new product or verifying a hypothesis. Therefore while recall of basic information from short-term memory are important, using the information to identify solutions to problems and apply it in a new context is a feature of critical thinking that should be a learning outcome of every teaching episode and assessment.</w:t>
      </w:r>
    </w:p>
    <w:p w:rsidR="007600EB" w:rsidRDefault="007600EB" w:rsidP="008E07F1">
      <w:pPr>
        <w:ind w:left="360"/>
      </w:pPr>
      <w:r w:rsidRPr="00A4622E">
        <w:t xml:space="preserve">With self-assessment and provision of model answers students have the opportunity to identify their own misunderstanding or lack of comprehension, and to modify or completely change the learning strategies they have used to complete the task. </w:t>
      </w:r>
    </w:p>
    <w:p w:rsidR="007600EB" w:rsidRDefault="007600EB" w:rsidP="003E7D5E">
      <w:pPr>
        <w:pStyle w:val="Heading7"/>
      </w:pPr>
      <w:r w:rsidRPr="0045092E">
        <w:t>Conclusion</w:t>
      </w:r>
    </w:p>
    <w:p w:rsidR="007600EB" w:rsidRPr="0061741B" w:rsidRDefault="007600EB" w:rsidP="007600EB">
      <w:r w:rsidRPr="0061741B">
        <w:t xml:space="preserve">The aim of this </w:t>
      </w:r>
      <w:r w:rsidR="00972E7D">
        <w:t>study</w:t>
      </w:r>
      <w:r w:rsidRPr="0061741B">
        <w:t xml:space="preserve"> was to reflect on challenges for students and lecturers teaching and learning in a social constructivist approach in ODL. Educational practice in ODL is continually exposed to renewal, due to development of technology, globalisation of education and the emphasis on lifelong learning. </w:t>
      </w:r>
    </w:p>
    <w:p w:rsidR="00972E7D" w:rsidRDefault="007600EB" w:rsidP="007600EB">
      <w:r w:rsidRPr="003E7D5E">
        <w:t>ODL students are much more dependent on themselves to attain their learning goals. One can argue that self-directedness plays an important role in learning and in the regulation of mental processes as in the traditional classroom instruction where lecturers can directly observe and support students. The assumption is that without good self-directed learning skills the ODL</w:t>
      </w:r>
      <w:r w:rsidRPr="0061741B">
        <w:rPr>
          <w:color w:val="222222"/>
          <w:lang w:val="en"/>
        </w:rPr>
        <w:t xml:space="preserve"> students will achieve less academic success.</w:t>
      </w:r>
      <w:r w:rsidRPr="0061741B">
        <w:t xml:space="preserve">To this end, recommendations were made to develop self-directedness in teaching and learning. </w:t>
      </w:r>
      <w:r w:rsidR="00972E7D">
        <w:t>I</w:t>
      </w:r>
      <w:r w:rsidRPr="0061741B">
        <w:t>solation and less self-directedness a</w:t>
      </w:r>
      <w:r w:rsidR="00972E7D">
        <w:t>re</w:t>
      </w:r>
      <w:r w:rsidRPr="0061741B">
        <w:t xml:space="preserve"> two main concerns and challenges in a social constructivist approach in ODL. How these challenges may be overcome needs further research. By taking cognisance of ICT in ODL as well as the contextual challenges of students, lecturers can improve the quality of their teaching and the performance of their students.</w:t>
      </w:r>
      <w:r w:rsidR="00972E7D">
        <w:br/>
      </w:r>
    </w:p>
    <w:p w:rsidR="007600EB" w:rsidRPr="003E7D5E" w:rsidRDefault="007600EB" w:rsidP="007600EB">
      <w:pPr>
        <w:rPr>
          <w:rStyle w:val="Heading7Char"/>
        </w:rPr>
      </w:pPr>
      <w:r w:rsidRPr="003E7D5E">
        <w:rPr>
          <w:rStyle w:val="Heading7Char"/>
        </w:rPr>
        <w:t>References</w:t>
      </w:r>
    </w:p>
    <w:p w:rsidR="007600EB" w:rsidRPr="003E5C24" w:rsidRDefault="007600EB" w:rsidP="007600EB">
      <w:pPr>
        <w:ind w:left="720" w:hanging="720"/>
        <w:rPr>
          <w:rFonts w:eastAsia="Calibri"/>
          <w:sz w:val="19"/>
          <w:szCs w:val="19"/>
        </w:rPr>
      </w:pPr>
      <w:r w:rsidRPr="003E5C24">
        <w:rPr>
          <w:rFonts w:eastAsia="Calibri"/>
          <w:sz w:val="19"/>
          <w:szCs w:val="19"/>
        </w:rPr>
        <w:t xml:space="preserve">Amstutz, D.D. 1999. Adult learning: moving toward more inclusive theories and practices. San Francisco: Jossey-Bass Publishers. (New directions for adult and continuing education, 22.) </w:t>
      </w:r>
    </w:p>
    <w:p w:rsidR="007600EB" w:rsidRPr="003E5C24" w:rsidRDefault="007600EB" w:rsidP="007600EB">
      <w:pPr>
        <w:ind w:left="720" w:hanging="720"/>
        <w:rPr>
          <w:sz w:val="19"/>
          <w:szCs w:val="19"/>
        </w:rPr>
      </w:pPr>
      <w:r w:rsidRPr="003E5C24">
        <w:rPr>
          <w:sz w:val="19"/>
          <w:szCs w:val="19"/>
        </w:rPr>
        <w:t xml:space="preserve">Anderson, T. &amp; Dron, J. 2011. Three generations of Distance Education Pedagogy. International Review of Research in Open and Distance learning, 4(2).Retrieved from </w:t>
      </w:r>
      <w:hyperlink r:id="rId33" w:history="1">
        <w:r w:rsidRPr="003E5C24">
          <w:rPr>
            <w:sz w:val="19"/>
            <w:szCs w:val="19"/>
          </w:rPr>
          <w:t>http://www.irrodl.org/index.php/irrodl/article/view/890/1663</w:t>
        </w:r>
      </w:hyperlink>
      <w:r w:rsidRPr="003E5C24">
        <w:rPr>
          <w:sz w:val="19"/>
          <w:szCs w:val="19"/>
        </w:rPr>
        <w:t xml:space="preserve"> Date of access 29 July 2014.</w:t>
      </w:r>
    </w:p>
    <w:p w:rsidR="007600EB" w:rsidRPr="003E5C24" w:rsidRDefault="007600EB" w:rsidP="007600EB">
      <w:pPr>
        <w:ind w:left="720" w:hanging="720"/>
        <w:rPr>
          <w:sz w:val="19"/>
          <w:szCs w:val="19"/>
        </w:rPr>
      </w:pPr>
      <w:r w:rsidRPr="003E5C24">
        <w:rPr>
          <w:sz w:val="19"/>
          <w:szCs w:val="19"/>
        </w:rPr>
        <w:t xml:space="preserve">Ascough, R. S. (2002). Designing for Online Distance Education: Putting Pedagogy before Technology. </w:t>
      </w:r>
      <w:r w:rsidRPr="003E5C24">
        <w:rPr>
          <w:i/>
          <w:sz w:val="19"/>
          <w:szCs w:val="19"/>
        </w:rPr>
        <w:t>Teaching Theology &amp; Religion</w:t>
      </w:r>
      <w:r w:rsidRPr="003E5C24">
        <w:rPr>
          <w:sz w:val="19"/>
          <w:szCs w:val="19"/>
        </w:rPr>
        <w:t>, 5(1), 17-29.</w:t>
      </w:r>
    </w:p>
    <w:p w:rsidR="007600EB" w:rsidRPr="003E5C24" w:rsidRDefault="007600EB" w:rsidP="007600EB">
      <w:pPr>
        <w:ind w:left="720" w:hanging="720"/>
        <w:rPr>
          <w:sz w:val="19"/>
          <w:szCs w:val="19"/>
        </w:rPr>
      </w:pPr>
      <w:r w:rsidRPr="003E5C24">
        <w:rPr>
          <w:sz w:val="19"/>
          <w:szCs w:val="19"/>
        </w:rPr>
        <w:t xml:space="preserve">Anderson, T. 2003. Getting the mix right: an updated and theoretical rational for interaction. International review of research in open and distance learning, 4(2). </w:t>
      </w:r>
      <w:hyperlink r:id="rId34" w:history="1">
        <w:r w:rsidRPr="003E5C24">
          <w:rPr>
            <w:rStyle w:val="Hyperlink"/>
            <w:sz w:val="19"/>
            <w:szCs w:val="19"/>
          </w:rPr>
          <w:t>http://www.irrodl.org/index.php/iredl/article/view/149/230</w:t>
        </w:r>
      </w:hyperlink>
      <w:r w:rsidRPr="003E5C24">
        <w:rPr>
          <w:sz w:val="19"/>
          <w:szCs w:val="19"/>
        </w:rPr>
        <w:t xml:space="preserve">. Date of access: 30 October 2010. </w:t>
      </w:r>
    </w:p>
    <w:p w:rsidR="007600EB" w:rsidRPr="003E5C24" w:rsidRDefault="007600EB" w:rsidP="007600EB">
      <w:pPr>
        <w:ind w:left="720" w:hanging="720"/>
        <w:rPr>
          <w:sz w:val="19"/>
          <w:szCs w:val="19"/>
        </w:rPr>
      </w:pPr>
      <w:r w:rsidRPr="003E5C24">
        <w:rPr>
          <w:sz w:val="19"/>
          <w:szCs w:val="19"/>
        </w:rPr>
        <w:t xml:space="preserve">Anderson, T. 2009. </w:t>
      </w:r>
      <w:r w:rsidRPr="003E5C24">
        <w:rPr>
          <w:i/>
          <w:iCs/>
          <w:sz w:val="19"/>
          <w:szCs w:val="19"/>
        </w:rPr>
        <w:t>The dance of technology and pedagogy in self-paced distance education.</w:t>
      </w:r>
      <w:r w:rsidRPr="003E5C24">
        <w:rPr>
          <w:sz w:val="19"/>
          <w:szCs w:val="19"/>
        </w:rPr>
        <w:t xml:space="preserve"> Paper presented at the 17th ICDE World Congress, Maastricht. Retrieved from </w:t>
      </w:r>
      <w:hyperlink r:id="rId35" w:history="1">
        <w:r w:rsidRPr="003E5C24">
          <w:rPr>
            <w:rStyle w:val="Hyperlink"/>
            <w:rFonts w:ascii="Times New Roman" w:hAnsi="Times New Roman"/>
            <w:sz w:val="19"/>
            <w:szCs w:val="19"/>
          </w:rPr>
          <w:t>http://auspace.athabascau.ca:8080/dspace/bitstream/2149/2210/1/The%20Dance%20of%20technology%20and%20Pedagogy%20in%20Self%20Paced%20Instructions.docx</w:t>
        </w:r>
      </w:hyperlink>
      <w:r w:rsidRPr="003E5C24">
        <w:rPr>
          <w:sz w:val="19"/>
          <w:szCs w:val="19"/>
        </w:rPr>
        <w:t xml:space="preserve"> </w:t>
      </w:r>
      <w:r w:rsidRPr="003E5C24">
        <w:rPr>
          <w:sz w:val="19"/>
          <w:szCs w:val="19"/>
        </w:rPr>
        <w:br/>
        <w:t>Date of access 29 July 2014.</w:t>
      </w:r>
    </w:p>
    <w:p w:rsidR="007600EB" w:rsidRPr="003E5C24" w:rsidRDefault="007600EB" w:rsidP="007600EB">
      <w:pPr>
        <w:ind w:left="720" w:hanging="720"/>
        <w:rPr>
          <w:sz w:val="19"/>
          <w:szCs w:val="19"/>
          <w:lang w:val="nl-NL"/>
        </w:rPr>
      </w:pPr>
      <w:r w:rsidRPr="003E5C24">
        <w:rPr>
          <w:sz w:val="19"/>
          <w:szCs w:val="19"/>
          <w:lang w:val="nl-NL"/>
        </w:rPr>
        <w:t xml:space="preserve">Brown,T.H. 2005. Beyond constructivism: Exploring future learning paradigms. </w:t>
      </w:r>
      <w:r w:rsidRPr="003E5C24">
        <w:rPr>
          <w:i/>
          <w:sz w:val="19"/>
          <w:szCs w:val="19"/>
          <w:lang w:val="nl-NL"/>
        </w:rPr>
        <w:t>Education Today</w:t>
      </w:r>
      <w:r w:rsidRPr="003E5C24">
        <w:rPr>
          <w:sz w:val="19"/>
          <w:szCs w:val="19"/>
          <w:lang w:val="nl-NL"/>
        </w:rPr>
        <w:t>. 2:1-11</w:t>
      </w:r>
    </w:p>
    <w:p w:rsidR="007600EB" w:rsidRPr="003E5C24" w:rsidRDefault="007600EB" w:rsidP="007600EB">
      <w:pPr>
        <w:ind w:left="720" w:hanging="720"/>
        <w:rPr>
          <w:sz w:val="19"/>
          <w:szCs w:val="19"/>
        </w:rPr>
      </w:pPr>
      <w:r w:rsidRPr="003E5C24">
        <w:rPr>
          <w:sz w:val="19"/>
          <w:szCs w:val="19"/>
        </w:rPr>
        <w:t xml:space="preserve">Barzilai.S., Zohar.,A.2014. Reconsidering Personal Epistemology as Metacognition: A Multifaceted Approach to the Analysis of Epistemic Thinking. </w:t>
      </w:r>
      <w:r w:rsidRPr="003E5C24">
        <w:rPr>
          <w:i/>
          <w:sz w:val="19"/>
          <w:szCs w:val="19"/>
        </w:rPr>
        <w:t>Educational Psychologist,</w:t>
      </w:r>
      <w:r w:rsidRPr="003E5C24">
        <w:rPr>
          <w:sz w:val="19"/>
          <w:szCs w:val="19"/>
        </w:rPr>
        <w:t xml:space="preserve"> 49(1), 13–35. </w:t>
      </w:r>
    </w:p>
    <w:p w:rsidR="007600EB" w:rsidRPr="003E5C24" w:rsidRDefault="007600EB" w:rsidP="007600EB">
      <w:pPr>
        <w:ind w:left="720" w:hanging="720"/>
        <w:rPr>
          <w:rFonts w:eastAsia="Calibri"/>
          <w:sz w:val="19"/>
          <w:szCs w:val="19"/>
        </w:rPr>
      </w:pPr>
      <w:r w:rsidRPr="003E5C24">
        <w:rPr>
          <w:rFonts w:eastAsia="Calibri"/>
          <w:sz w:val="19"/>
          <w:szCs w:val="19"/>
        </w:rPr>
        <w:lastRenderedPageBreak/>
        <w:t xml:space="preserve">Bartos, K. (2007). Constructivism in action. Retrieved from </w:t>
      </w:r>
      <w:hyperlink r:id="rId36" w:history="1">
        <w:r w:rsidRPr="003E5C24">
          <w:rPr>
            <w:rStyle w:val="Hyperlink"/>
            <w:rFonts w:eastAsia="Calibri"/>
            <w:sz w:val="19"/>
            <w:szCs w:val="19"/>
          </w:rPr>
          <w:t>http://kathleenbartos.blogspot.com/2007/04/introduction-in-completing-kam-ii-goal.html.</w:t>
        </w:r>
      </w:hyperlink>
    </w:p>
    <w:p w:rsidR="007600EB" w:rsidRPr="003E5C24" w:rsidRDefault="007600EB" w:rsidP="007600EB">
      <w:pPr>
        <w:ind w:left="720" w:hanging="720"/>
        <w:rPr>
          <w:sz w:val="19"/>
          <w:szCs w:val="19"/>
        </w:rPr>
      </w:pPr>
      <w:r w:rsidRPr="003E5C24">
        <w:rPr>
          <w:sz w:val="19"/>
          <w:szCs w:val="19"/>
        </w:rPr>
        <w:t>Bates, T. 2005. Technology, e-learning and distance education. 2nd ed. Oxon: Routledge.</w:t>
      </w:r>
    </w:p>
    <w:p w:rsidR="007600EB" w:rsidRPr="003E5C24" w:rsidRDefault="007600EB" w:rsidP="007600EB">
      <w:pPr>
        <w:ind w:left="720" w:hanging="720"/>
        <w:rPr>
          <w:sz w:val="19"/>
          <w:szCs w:val="19"/>
        </w:rPr>
      </w:pPr>
      <w:r w:rsidRPr="003E5C24">
        <w:rPr>
          <w:sz w:val="19"/>
          <w:szCs w:val="19"/>
        </w:rPr>
        <w:t>Blignaut, A. S., &amp; Els, C. J. (2010). Comperacy assessment of postgraduate students' readiness for higher education. [doi: DOI: 10.1016/j.iheduc.2010.02.007]. The Internet and Higher Education, 13(3), 101-107.</w:t>
      </w:r>
    </w:p>
    <w:p w:rsidR="007600EB" w:rsidRPr="003E5C24" w:rsidRDefault="007600EB" w:rsidP="007600EB">
      <w:pPr>
        <w:ind w:left="720" w:hanging="720"/>
        <w:rPr>
          <w:sz w:val="19"/>
          <w:szCs w:val="19"/>
        </w:rPr>
      </w:pPr>
      <w:r w:rsidRPr="003E5C24">
        <w:rPr>
          <w:sz w:val="19"/>
          <w:szCs w:val="19"/>
        </w:rPr>
        <w:t>Brookfield, S. 1995. Adult learning: an overview. (In Tuinjman, A.C., ed. International Encyclopedia of Adult Education and Training. 2nd ed. New York: Pergamon. p. 375-379.)</w:t>
      </w:r>
    </w:p>
    <w:p w:rsidR="007600EB" w:rsidRPr="003E5C24" w:rsidRDefault="007600EB" w:rsidP="007600EB">
      <w:pPr>
        <w:ind w:left="720" w:hanging="720"/>
        <w:rPr>
          <w:sz w:val="19"/>
          <w:szCs w:val="19"/>
        </w:rPr>
      </w:pPr>
      <w:r w:rsidRPr="003E5C24">
        <w:rPr>
          <w:sz w:val="19"/>
          <w:szCs w:val="19"/>
        </w:rPr>
        <w:t>Brown, A. L. (1987). Metacognition, executive control, self-regulation, and other more mysterious mechanisms.(In F. E. Weinert &amp; R. H. Kluwe (Eds.), Metacognition, motivation, and understanding (pp. 65-116). Hillsdale, NJ: Erlbaum.</w:t>
      </w:r>
    </w:p>
    <w:p w:rsidR="007600EB" w:rsidRPr="003E5C24" w:rsidRDefault="007600EB" w:rsidP="007600EB">
      <w:pPr>
        <w:ind w:left="720" w:hanging="720"/>
        <w:rPr>
          <w:rFonts w:eastAsia="Calibri"/>
          <w:sz w:val="19"/>
          <w:szCs w:val="19"/>
        </w:rPr>
      </w:pPr>
      <w:r w:rsidRPr="003E5C24">
        <w:rPr>
          <w:rFonts w:eastAsia="Calibri"/>
          <w:sz w:val="19"/>
          <w:szCs w:val="19"/>
        </w:rPr>
        <w:t xml:space="preserve">Croft, N., Dalton, A. and Grant, M. (2011) </w:t>
      </w:r>
      <w:hyperlink r:id="rId37" w:tgtFrame="_top" w:history="1">
        <w:r w:rsidRPr="003E5C24">
          <w:rPr>
            <w:rFonts w:eastAsia="Calibri"/>
            <w:sz w:val="19"/>
            <w:szCs w:val="19"/>
          </w:rPr>
          <w:t>Overcoming isolation in distance learning: Building a learning community through time, space and sector.</w:t>
        </w:r>
      </w:hyperlink>
      <w:r w:rsidRPr="003E5C24">
        <w:rPr>
          <w:rFonts w:eastAsia="Calibri"/>
          <w:sz w:val="19"/>
          <w:szCs w:val="19"/>
        </w:rPr>
        <w:t xml:space="preserve"> Working Paper. Higher Education Academy Centre for Education in the Built Environment (CEBE). </w:t>
      </w:r>
    </w:p>
    <w:p w:rsidR="007600EB" w:rsidRPr="003E5C24" w:rsidRDefault="007600EB" w:rsidP="007600EB">
      <w:pPr>
        <w:ind w:left="720" w:hanging="720"/>
        <w:rPr>
          <w:sz w:val="19"/>
          <w:szCs w:val="19"/>
        </w:rPr>
      </w:pPr>
      <w:r w:rsidRPr="003E5C24">
        <w:rPr>
          <w:sz w:val="19"/>
          <w:szCs w:val="19"/>
        </w:rPr>
        <w:t>Cretchley, G. &amp; Castle, J. (2001) OBE, RPL and adult education; good bedfellows in higher education in South Africa, International Journal of Lifelong Education, 20(6), pp. 487–501.Council of Australian Postgraduate Association Incorporated. 2003.</w:t>
      </w:r>
    </w:p>
    <w:p w:rsidR="007600EB" w:rsidRPr="003E5C24" w:rsidRDefault="007600EB" w:rsidP="007600EB">
      <w:pPr>
        <w:ind w:left="720" w:hanging="720"/>
        <w:rPr>
          <w:sz w:val="19"/>
          <w:szCs w:val="19"/>
        </w:rPr>
      </w:pPr>
      <w:r w:rsidRPr="003E5C24">
        <w:rPr>
          <w:sz w:val="19"/>
          <w:szCs w:val="19"/>
        </w:rPr>
        <w:t xml:space="preserve">Conlan, J., Grabowski, S. &amp; Smith, K. 2003. Adult learning: emerging perspectives on learning, teaching and technology. University of Georgia, Adult Department of Educational Psychology and Industrial Technology. </w:t>
      </w:r>
      <w:hyperlink r:id="rId38" w:history="1">
        <w:r w:rsidRPr="003E5C24">
          <w:rPr>
            <w:rStyle w:val="Hyperlink"/>
            <w:sz w:val="19"/>
            <w:szCs w:val="19"/>
          </w:rPr>
          <w:t>http://projects.coe.uga.edu/epltt/index.php?title=adultlearning</w:t>
        </w:r>
      </w:hyperlink>
      <w:r w:rsidRPr="003E5C24">
        <w:rPr>
          <w:sz w:val="19"/>
          <w:szCs w:val="19"/>
        </w:rPr>
        <w:br/>
        <w:t xml:space="preserve">(Accessed 10 September 2008). </w:t>
      </w:r>
    </w:p>
    <w:p w:rsidR="007600EB" w:rsidRPr="003E5C24" w:rsidRDefault="007600EB" w:rsidP="007600EB">
      <w:pPr>
        <w:ind w:left="720" w:hanging="720"/>
        <w:rPr>
          <w:sz w:val="19"/>
          <w:szCs w:val="19"/>
        </w:rPr>
      </w:pPr>
      <w:r w:rsidRPr="003E5C24">
        <w:rPr>
          <w:sz w:val="19"/>
          <w:szCs w:val="19"/>
        </w:rPr>
        <w:t>Dinsmore, D. L., Alexander, P. A., &amp; Loughlin, S. M. 2008. Focusing the conceptual lens on metacognition, self-regulation, and self-regulated learning. Educational Psychology Review, 20, 391–409.</w:t>
      </w:r>
    </w:p>
    <w:p w:rsidR="007600EB" w:rsidRPr="003E5C24" w:rsidRDefault="007600EB" w:rsidP="007600EB">
      <w:pPr>
        <w:ind w:left="720" w:hanging="720"/>
        <w:rPr>
          <w:sz w:val="19"/>
          <w:szCs w:val="19"/>
        </w:rPr>
      </w:pPr>
      <w:r w:rsidRPr="003E5C24">
        <w:rPr>
          <w:sz w:val="19"/>
          <w:szCs w:val="19"/>
        </w:rPr>
        <w:t>Driscoll, M.P. 2005. Psychology of learning for instruction. 3rd ed. Boston: Pearson Education. 476 p.</w:t>
      </w:r>
    </w:p>
    <w:p w:rsidR="007600EB" w:rsidRPr="003E5C24" w:rsidRDefault="007600EB" w:rsidP="007600EB">
      <w:pPr>
        <w:ind w:left="720" w:hanging="720"/>
        <w:rPr>
          <w:sz w:val="19"/>
          <w:szCs w:val="19"/>
          <w:lang w:val="nl-NL"/>
        </w:rPr>
      </w:pPr>
      <w:r w:rsidRPr="003E5C24">
        <w:rPr>
          <w:sz w:val="19"/>
          <w:szCs w:val="19"/>
          <w:lang w:val="nl-NL"/>
        </w:rPr>
        <w:t>Esterhuizen, H.D. 2012 The integration of learning technologies in open distance learning at North-West University.</w:t>
      </w:r>
      <w:r w:rsidRPr="003E5C24">
        <w:rPr>
          <w:sz w:val="19"/>
          <w:szCs w:val="19"/>
        </w:rPr>
        <w:t xml:space="preserve"> Unpublished PhD thesis. Faculty of Education Sciences, North-West University, Potchefstroom.</w:t>
      </w:r>
    </w:p>
    <w:p w:rsidR="007600EB" w:rsidRPr="003E5C24" w:rsidRDefault="007600EB" w:rsidP="007600EB">
      <w:pPr>
        <w:ind w:left="720" w:hanging="720"/>
        <w:rPr>
          <w:rFonts w:eastAsia="Calibri"/>
          <w:sz w:val="19"/>
          <w:szCs w:val="19"/>
          <w:lang w:val="en-ZA"/>
        </w:rPr>
      </w:pPr>
      <w:r w:rsidRPr="003E5C24">
        <w:rPr>
          <w:rFonts w:eastAsia="Calibri"/>
          <w:sz w:val="19"/>
          <w:szCs w:val="19"/>
          <w:lang w:val="en-ZA"/>
        </w:rPr>
        <w:t>Flavell, J.H. 1979. Metacognition and cognitive monitoring: a new area of cognitive developmental inquiry. American psychologist, 34:906-911.</w:t>
      </w:r>
    </w:p>
    <w:p w:rsidR="007600EB" w:rsidRPr="003E5C24" w:rsidRDefault="007600EB" w:rsidP="007600EB">
      <w:pPr>
        <w:ind w:left="720" w:hanging="720"/>
        <w:rPr>
          <w:sz w:val="19"/>
          <w:szCs w:val="19"/>
        </w:rPr>
      </w:pPr>
      <w:r w:rsidRPr="003E5C24">
        <w:rPr>
          <w:sz w:val="19"/>
          <w:szCs w:val="19"/>
        </w:rPr>
        <w:t>Ferreira, J.G.and Venter E. 2011.Barriers to learning at an ODL institution. Progressio 33(1):80-93.</w:t>
      </w:r>
    </w:p>
    <w:p w:rsidR="007600EB" w:rsidRPr="003E5C24" w:rsidRDefault="007600EB" w:rsidP="007600EB">
      <w:pPr>
        <w:ind w:left="720" w:hanging="720"/>
        <w:rPr>
          <w:sz w:val="19"/>
          <w:szCs w:val="19"/>
        </w:rPr>
      </w:pPr>
      <w:r w:rsidRPr="003E5C24">
        <w:rPr>
          <w:sz w:val="19"/>
          <w:szCs w:val="19"/>
        </w:rPr>
        <w:t>Geduld,B.W. 2011. ‘n Model vir die ontwikkeling van die selfgereguleerde leervaardighede van afstandsleerders. Unpublished PhD thesis. Faculty of Education Sciences, North-West University, Potchefstroom.</w:t>
      </w:r>
    </w:p>
    <w:p w:rsidR="007600EB" w:rsidRPr="003E5C24" w:rsidRDefault="007600EB" w:rsidP="007600EB">
      <w:pPr>
        <w:ind w:left="720" w:hanging="720"/>
        <w:rPr>
          <w:sz w:val="19"/>
          <w:szCs w:val="19"/>
        </w:rPr>
      </w:pPr>
      <w:r w:rsidRPr="003E5C24">
        <w:rPr>
          <w:sz w:val="19"/>
          <w:szCs w:val="19"/>
        </w:rPr>
        <w:t>Gravett, S. 2004. Adult learning. Designing and implementing learning events: a dialogic approach. 2nd ed. Pretoria: Van Schaik Publishers.</w:t>
      </w:r>
    </w:p>
    <w:p w:rsidR="007600EB" w:rsidRPr="003E5C24" w:rsidRDefault="007600EB" w:rsidP="007600EB">
      <w:pPr>
        <w:ind w:left="720" w:hanging="720"/>
        <w:rPr>
          <w:sz w:val="19"/>
          <w:szCs w:val="19"/>
        </w:rPr>
      </w:pPr>
      <w:r w:rsidRPr="003E5C24">
        <w:rPr>
          <w:sz w:val="19"/>
          <w:szCs w:val="19"/>
        </w:rPr>
        <w:t>Guglielmino, L.M. 2008. Why self-directed learning? International journal of self directed learning, 5(1):1-14.</w:t>
      </w:r>
    </w:p>
    <w:p w:rsidR="007600EB" w:rsidRPr="003E5C24" w:rsidRDefault="007600EB" w:rsidP="007600EB">
      <w:pPr>
        <w:ind w:left="720" w:hanging="720"/>
        <w:rPr>
          <w:sz w:val="19"/>
          <w:szCs w:val="19"/>
          <w:lang w:val="en-GB"/>
        </w:rPr>
      </w:pPr>
      <w:r w:rsidRPr="003E5C24">
        <w:rPr>
          <w:sz w:val="19"/>
          <w:szCs w:val="19"/>
          <w:lang w:val="en-GB"/>
        </w:rPr>
        <w:t xml:space="preserve">Gelo, O., D, Braakman, and G Benetka. 2008. Quantitative and qualitative research: beyond the debate. </w:t>
      </w:r>
      <w:r w:rsidRPr="003E5C24">
        <w:rPr>
          <w:i/>
          <w:sz w:val="19"/>
          <w:szCs w:val="19"/>
          <w:lang w:val="en-GB"/>
        </w:rPr>
        <w:t>Integrative psychological &amp; behavioural science</w:t>
      </w:r>
      <w:r w:rsidRPr="003E5C24">
        <w:rPr>
          <w:sz w:val="19"/>
          <w:szCs w:val="19"/>
          <w:lang w:val="en-GB"/>
        </w:rPr>
        <w:t xml:space="preserve"> 42: 266-290.</w:t>
      </w:r>
    </w:p>
    <w:p w:rsidR="007600EB" w:rsidRPr="003E5C24" w:rsidRDefault="007600EB" w:rsidP="007600EB">
      <w:pPr>
        <w:ind w:left="720" w:hanging="720"/>
        <w:rPr>
          <w:sz w:val="19"/>
          <w:szCs w:val="19"/>
          <w:lang w:val="en-GB"/>
        </w:rPr>
      </w:pPr>
      <w:r w:rsidRPr="003E5C24">
        <w:rPr>
          <w:sz w:val="19"/>
          <w:szCs w:val="19"/>
          <w:lang w:val="en-GB"/>
        </w:rPr>
        <w:t>Higher education and training. 2012. Department Higher Education and Training Republic of South Africa. Draft policy framework for the provision of distance education in South African Universities. Pretoria: Department of Higher Education and Training.</w:t>
      </w:r>
    </w:p>
    <w:p w:rsidR="007600EB" w:rsidRPr="003E5C24" w:rsidRDefault="007600EB" w:rsidP="007600EB">
      <w:pPr>
        <w:ind w:left="720" w:hanging="720"/>
        <w:rPr>
          <w:sz w:val="19"/>
          <w:szCs w:val="19"/>
        </w:rPr>
      </w:pPr>
      <w:r w:rsidRPr="003E5C24">
        <w:rPr>
          <w:sz w:val="19"/>
          <w:szCs w:val="19"/>
        </w:rPr>
        <w:t>Inoue A, Kawakami N, Tsutsumi A, Shimazu A, Miyaki K, et al. (2014) Association of Job Demands with Work Engagement of Japanese Employees: Comparison of Challenges with Hindrances (J-OPE). PLoS ONE 9(3): e91583.doi:10.1371/journal.pone.0091583</w:t>
      </w:r>
    </w:p>
    <w:p w:rsidR="007600EB" w:rsidRPr="003E5C24" w:rsidRDefault="007600EB" w:rsidP="007600EB">
      <w:pPr>
        <w:ind w:left="720" w:hanging="720"/>
        <w:rPr>
          <w:sz w:val="19"/>
          <w:szCs w:val="19"/>
        </w:rPr>
      </w:pPr>
      <w:r w:rsidRPr="003E5C24">
        <w:rPr>
          <w:sz w:val="19"/>
          <w:szCs w:val="19"/>
          <w:lang w:val="nl-NL"/>
        </w:rPr>
        <w:t xml:space="preserve">Johnson, R. Onweugbuzie, A.J. 2004. </w:t>
      </w:r>
      <w:r w:rsidRPr="003E5C24">
        <w:rPr>
          <w:sz w:val="19"/>
          <w:szCs w:val="19"/>
        </w:rPr>
        <w:t xml:space="preserve">Mixed methods research: a research paradigm whose time has come. </w:t>
      </w:r>
      <w:r w:rsidRPr="003E5C24">
        <w:rPr>
          <w:i/>
          <w:sz w:val="19"/>
          <w:szCs w:val="19"/>
        </w:rPr>
        <w:t>Educational researcher</w:t>
      </w:r>
      <w:r w:rsidRPr="003E5C24">
        <w:rPr>
          <w:sz w:val="19"/>
          <w:szCs w:val="19"/>
        </w:rPr>
        <w:t>, 33(7):14-26.</w:t>
      </w:r>
    </w:p>
    <w:p w:rsidR="007600EB" w:rsidRPr="003E5C24" w:rsidRDefault="007600EB" w:rsidP="007600EB">
      <w:pPr>
        <w:ind w:left="720" w:hanging="720"/>
        <w:rPr>
          <w:sz w:val="19"/>
          <w:szCs w:val="19"/>
        </w:rPr>
      </w:pPr>
      <w:r w:rsidRPr="003E5C24">
        <w:rPr>
          <w:sz w:val="19"/>
          <w:szCs w:val="19"/>
        </w:rPr>
        <w:t>Kaplan.A .2008. Clarifying Metacognition, Self-Regulation, and Self-Regulated Learning: What’s the Purpose? Educ Psychol Rev. 20:477–484</w:t>
      </w:r>
    </w:p>
    <w:p w:rsidR="007600EB" w:rsidRPr="003E5C24" w:rsidRDefault="007600EB" w:rsidP="007600EB">
      <w:pPr>
        <w:ind w:left="720" w:hanging="720"/>
        <w:rPr>
          <w:sz w:val="19"/>
          <w:szCs w:val="19"/>
        </w:rPr>
      </w:pPr>
      <w:r w:rsidRPr="003E5C24">
        <w:rPr>
          <w:sz w:val="19"/>
          <w:szCs w:val="19"/>
        </w:rPr>
        <w:lastRenderedPageBreak/>
        <w:t>Knowles, M.S. 1975. Self-directed learning: a guide for learners and teachers. New York: Association Press.</w:t>
      </w:r>
    </w:p>
    <w:p w:rsidR="007600EB" w:rsidRPr="003E5C24" w:rsidRDefault="007600EB" w:rsidP="007600EB">
      <w:pPr>
        <w:ind w:left="720" w:hanging="720"/>
        <w:rPr>
          <w:sz w:val="19"/>
          <w:szCs w:val="19"/>
        </w:rPr>
      </w:pPr>
      <w:r w:rsidRPr="003E5C24">
        <w:rPr>
          <w:sz w:val="19"/>
          <w:szCs w:val="19"/>
        </w:rPr>
        <w:t>Kiely, R., Sandman, L.R. &amp; Turluck, J. 2004. Adult learning theory and the pursuit of adult degrees. New directions for adult and continuing education, 103:17-30, Fall.</w:t>
      </w:r>
    </w:p>
    <w:p w:rsidR="007600EB" w:rsidRPr="003E5C24" w:rsidRDefault="007600EB" w:rsidP="007600EB">
      <w:pPr>
        <w:ind w:left="720" w:hanging="720"/>
        <w:rPr>
          <w:sz w:val="19"/>
          <w:szCs w:val="19"/>
        </w:rPr>
      </w:pPr>
      <w:r w:rsidRPr="003E5C24">
        <w:rPr>
          <w:sz w:val="19"/>
          <w:szCs w:val="19"/>
        </w:rPr>
        <w:t xml:space="preserve">Lai, K.W., Pratt, K. &amp; Grant, A. 2003. State of the art trends in distance, flexible and open learning: a review of literature. </w:t>
      </w:r>
      <w:hyperlink r:id="rId39" w:history="1">
        <w:r w:rsidRPr="003E5C24">
          <w:rPr>
            <w:rStyle w:val="Hyperlink"/>
            <w:sz w:val="19"/>
            <w:szCs w:val="19"/>
          </w:rPr>
          <w:t>http://www.otago.ac.nz/courses/distance_study/pdf/distance_lit_review.pdf</w:t>
        </w:r>
      </w:hyperlink>
      <w:r w:rsidRPr="003E5C24">
        <w:rPr>
          <w:sz w:val="19"/>
          <w:szCs w:val="19"/>
        </w:rPr>
        <w:t>. Date of access 28 July 2007.</w:t>
      </w:r>
    </w:p>
    <w:p w:rsidR="007600EB" w:rsidRPr="003E5C24" w:rsidRDefault="007600EB" w:rsidP="007600EB">
      <w:pPr>
        <w:ind w:left="720" w:hanging="720"/>
        <w:rPr>
          <w:sz w:val="19"/>
          <w:szCs w:val="19"/>
        </w:rPr>
      </w:pPr>
      <w:r w:rsidRPr="003E5C24">
        <w:rPr>
          <w:sz w:val="19"/>
          <w:szCs w:val="19"/>
        </w:rPr>
        <w:t>Lewis, E. 2009. An examination of perceptions, attitudes, and levels of job satisfaction of faculty teaching in a distance education environment. 5th ed. Washington, D.C.: American Psychological Association. (Publication Manual of the American Psychological Association.)</w:t>
      </w:r>
    </w:p>
    <w:p w:rsidR="007600EB" w:rsidRPr="003E5C24" w:rsidRDefault="007600EB" w:rsidP="007600EB">
      <w:pPr>
        <w:ind w:left="720" w:hanging="720"/>
        <w:rPr>
          <w:rFonts w:eastAsia="Calibri"/>
          <w:b/>
          <w:bCs/>
          <w:sz w:val="19"/>
          <w:szCs w:val="19"/>
        </w:rPr>
      </w:pPr>
      <w:r w:rsidRPr="003E5C24">
        <w:rPr>
          <w:rFonts w:eastAsia="Calibri"/>
          <w:sz w:val="19"/>
          <w:szCs w:val="19"/>
        </w:rPr>
        <w:t>Loyens, S.M.M., Magda, J., &amp; Rikers, R.M.J.P. 2008. Self-directed learning in problem-based learning and its relationships with self-regulated learning. Educational Psychology Review, 20(4): 411-427.</w:t>
      </w:r>
    </w:p>
    <w:p w:rsidR="007600EB" w:rsidRPr="003E5C24" w:rsidRDefault="007600EB" w:rsidP="007600EB">
      <w:pPr>
        <w:ind w:left="720" w:hanging="720"/>
        <w:rPr>
          <w:sz w:val="19"/>
          <w:szCs w:val="19"/>
        </w:rPr>
      </w:pPr>
      <w:r w:rsidRPr="003E5C24">
        <w:rPr>
          <w:sz w:val="19"/>
          <w:szCs w:val="19"/>
        </w:rPr>
        <w:t>Lapadat, J.C. 2002. Written interaction: a key component in online learning. Journal of computer mediated communications, 7(4).</w:t>
      </w:r>
    </w:p>
    <w:p w:rsidR="007600EB" w:rsidRPr="003E5C24" w:rsidRDefault="007600EB" w:rsidP="007600EB">
      <w:pPr>
        <w:ind w:left="720" w:hanging="720"/>
        <w:rPr>
          <w:sz w:val="19"/>
          <w:szCs w:val="19"/>
        </w:rPr>
      </w:pPr>
      <w:r w:rsidRPr="003E5C24">
        <w:rPr>
          <w:sz w:val="19"/>
          <w:szCs w:val="19"/>
        </w:rPr>
        <w:t xml:space="preserve">Littlejohn, A. &amp; Pegler, C. 2007. Preparing for blended e-learning. Oxon: Routledge. </w:t>
      </w:r>
    </w:p>
    <w:p w:rsidR="007600EB" w:rsidRPr="003E5C24" w:rsidRDefault="007600EB" w:rsidP="007600EB">
      <w:pPr>
        <w:ind w:left="720" w:hanging="720"/>
        <w:rPr>
          <w:sz w:val="19"/>
          <w:szCs w:val="19"/>
        </w:rPr>
      </w:pPr>
      <w:r w:rsidRPr="003E5C24">
        <w:rPr>
          <w:sz w:val="19"/>
          <w:szCs w:val="19"/>
        </w:rPr>
        <w:t>Liu, C.H. &amp; Matthews, R. 2005. Vygotsky‟s philosophy: constructivism and its criticisms examined. International educational journal, 6(3):386-399.</w:t>
      </w:r>
    </w:p>
    <w:p w:rsidR="007600EB" w:rsidRPr="003E5C24" w:rsidRDefault="007600EB" w:rsidP="007600EB">
      <w:pPr>
        <w:ind w:left="720" w:hanging="720"/>
        <w:rPr>
          <w:sz w:val="19"/>
          <w:szCs w:val="19"/>
        </w:rPr>
      </w:pPr>
      <w:r w:rsidRPr="003E5C24">
        <w:rPr>
          <w:sz w:val="19"/>
          <w:szCs w:val="19"/>
        </w:rPr>
        <w:t xml:space="preserve">Makoe, M. E. 2012. Teaching digital natives: Identifying competencies for mobile learning facilitators in distance education. South African Journal for Higher Education 26 (1): 91-104. </w:t>
      </w:r>
    </w:p>
    <w:p w:rsidR="007600EB" w:rsidRPr="003E5C24" w:rsidRDefault="007600EB" w:rsidP="007600EB">
      <w:pPr>
        <w:ind w:left="720" w:hanging="720"/>
        <w:rPr>
          <w:sz w:val="19"/>
          <w:szCs w:val="19"/>
        </w:rPr>
      </w:pPr>
      <w:r w:rsidRPr="003E5C24">
        <w:rPr>
          <w:sz w:val="19"/>
          <w:szCs w:val="19"/>
        </w:rPr>
        <w:t xml:space="preserve">Mikropoulus, T.A. 2013. On the pedagogy of Open and Distance Learning Systems. Online available: </w:t>
      </w:r>
      <w:hyperlink r:id="rId40" w:history="1">
        <w:r w:rsidRPr="003E5C24">
          <w:rPr>
            <w:rStyle w:val="Hyperlink"/>
            <w:sz w:val="19"/>
            <w:szCs w:val="19"/>
          </w:rPr>
          <w:t>http://earthlab.uoi.gr/earthlab-files/article/ODPLpedagogy.pdf</w:t>
        </w:r>
      </w:hyperlink>
      <w:r w:rsidRPr="003E5C24">
        <w:rPr>
          <w:sz w:val="19"/>
          <w:szCs w:val="19"/>
        </w:rPr>
        <w:t>. Date of access 29 July 2014.</w:t>
      </w:r>
    </w:p>
    <w:p w:rsidR="007600EB" w:rsidRPr="003E5C24" w:rsidRDefault="007600EB" w:rsidP="007600EB">
      <w:pPr>
        <w:ind w:left="720" w:hanging="720"/>
        <w:rPr>
          <w:sz w:val="19"/>
          <w:szCs w:val="19"/>
        </w:rPr>
      </w:pPr>
      <w:r w:rsidRPr="003E5C24">
        <w:rPr>
          <w:sz w:val="19"/>
          <w:szCs w:val="19"/>
        </w:rPr>
        <w:t xml:space="preserve">Nantz, K. &amp; Klaf, S. 2012. Putting the spotlight on learning: cultivating self-directed learners by design. (Paper presented at the 9th Annual Teaching Professor Conference, Washington, D.C.). </w:t>
      </w:r>
    </w:p>
    <w:p w:rsidR="007600EB" w:rsidRPr="003E5C24" w:rsidRDefault="007600EB" w:rsidP="007600EB">
      <w:pPr>
        <w:ind w:left="720" w:hanging="720"/>
        <w:rPr>
          <w:sz w:val="19"/>
          <w:szCs w:val="19"/>
          <w:lang w:val="nl-NL"/>
        </w:rPr>
      </w:pPr>
      <w:r w:rsidRPr="003E5C24">
        <w:rPr>
          <w:sz w:val="19"/>
          <w:szCs w:val="19"/>
          <w:lang w:val="en-GB"/>
        </w:rPr>
        <w:t>Roberts, D. 2007.Learner support in South African Distance Education: A case for Action. Pretoria: University of South Africa.</w:t>
      </w:r>
    </w:p>
    <w:p w:rsidR="007600EB" w:rsidRPr="003E5C24" w:rsidRDefault="007600EB" w:rsidP="007600EB">
      <w:pPr>
        <w:ind w:left="720" w:hanging="720"/>
        <w:rPr>
          <w:sz w:val="19"/>
          <w:szCs w:val="19"/>
        </w:rPr>
      </w:pPr>
      <w:r w:rsidRPr="003E5C24">
        <w:rPr>
          <w:sz w:val="19"/>
          <w:szCs w:val="19"/>
        </w:rPr>
        <w:t xml:space="preserve">Rumble, G. 2001. The costs and costing of networked learning. </w:t>
      </w:r>
      <w:r w:rsidRPr="003E5C24">
        <w:rPr>
          <w:i/>
          <w:sz w:val="19"/>
          <w:szCs w:val="19"/>
        </w:rPr>
        <w:t>Journal of asynchronous learning networks,</w:t>
      </w:r>
      <w:r w:rsidRPr="003E5C24">
        <w:rPr>
          <w:sz w:val="19"/>
          <w:szCs w:val="19"/>
        </w:rPr>
        <w:t xml:space="preserve"> 5(20):75-96.</w:t>
      </w:r>
    </w:p>
    <w:p w:rsidR="007600EB" w:rsidRPr="003E5C24" w:rsidRDefault="007600EB" w:rsidP="007600EB">
      <w:pPr>
        <w:ind w:left="720" w:hanging="720"/>
        <w:rPr>
          <w:sz w:val="19"/>
          <w:szCs w:val="19"/>
        </w:rPr>
      </w:pPr>
      <w:r w:rsidRPr="003E5C24">
        <w:rPr>
          <w:sz w:val="19"/>
          <w:szCs w:val="19"/>
        </w:rPr>
        <w:t xml:space="preserve">Schudel, I., Le Roux,C.,Lots-Sistka,H., Loibser,C., O’Donoghue,R., Shallcross,T. 2008. Contextualising learning in Advanced Certificate in Education (Environmental Education) courses: synthesising contexts and experiences. </w:t>
      </w:r>
      <w:r w:rsidRPr="003E5C24">
        <w:rPr>
          <w:i/>
          <w:sz w:val="19"/>
          <w:szCs w:val="19"/>
        </w:rPr>
        <w:t>South African Journal of Education</w:t>
      </w:r>
      <w:r w:rsidRPr="003E5C24">
        <w:rPr>
          <w:sz w:val="19"/>
          <w:szCs w:val="19"/>
        </w:rPr>
        <w:t>. 28:543-559.</w:t>
      </w:r>
    </w:p>
    <w:p w:rsidR="007600EB" w:rsidRPr="003E5C24" w:rsidRDefault="007600EB" w:rsidP="007600EB">
      <w:pPr>
        <w:ind w:left="720" w:hanging="720"/>
        <w:rPr>
          <w:sz w:val="19"/>
          <w:szCs w:val="19"/>
        </w:rPr>
      </w:pPr>
      <w:r w:rsidRPr="003E5C24">
        <w:rPr>
          <w:sz w:val="19"/>
          <w:szCs w:val="19"/>
        </w:rPr>
        <w:t>Schunk, D.H., P.R. Pintrich ,and J.L. Meece. 2014. Motivation in education. Theory, Research and applications.3rd, Upper Saddle River: NJ: Merrill Prentice Hall.</w:t>
      </w:r>
    </w:p>
    <w:p w:rsidR="007600EB" w:rsidRPr="003E5C24" w:rsidRDefault="007600EB" w:rsidP="007600EB">
      <w:pPr>
        <w:ind w:left="720" w:hanging="720"/>
        <w:rPr>
          <w:sz w:val="19"/>
          <w:szCs w:val="19"/>
          <w:lang w:val="nl-NL"/>
        </w:rPr>
      </w:pPr>
      <w:r w:rsidRPr="003E5C24">
        <w:rPr>
          <w:sz w:val="19"/>
          <w:szCs w:val="19"/>
          <w:lang w:val="en-GB"/>
        </w:rPr>
        <w:t>Simpson, O. 2012. Supporting students for success in online and distance education.3</w:t>
      </w:r>
      <w:r w:rsidRPr="003E5C24">
        <w:rPr>
          <w:sz w:val="19"/>
          <w:szCs w:val="19"/>
          <w:vertAlign w:val="superscript"/>
          <w:lang w:val="en-GB"/>
        </w:rPr>
        <w:t>rd</w:t>
      </w:r>
      <w:r w:rsidRPr="003E5C24">
        <w:rPr>
          <w:sz w:val="19"/>
          <w:szCs w:val="19"/>
          <w:lang w:val="en-GB"/>
        </w:rPr>
        <w:t xml:space="preserve"> ed, Routledge Taylor Francis: New York.</w:t>
      </w:r>
    </w:p>
    <w:p w:rsidR="007600EB" w:rsidRPr="003E5C24" w:rsidRDefault="007600EB" w:rsidP="007600EB">
      <w:pPr>
        <w:ind w:left="720" w:hanging="720"/>
        <w:rPr>
          <w:sz w:val="19"/>
          <w:szCs w:val="19"/>
        </w:rPr>
      </w:pPr>
      <w:r w:rsidRPr="003E5C24">
        <w:rPr>
          <w:sz w:val="19"/>
          <w:szCs w:val="19"/>
        </w:rPr>
        <w:t xml:space="preserve">Silén,C., Uhlin, L. 2008. Self-directed learning- a learning issue for students and faculty. </w:t>
      </w:r>
      <w:r w:rsidRPr="003E5C24">
        <w:rPr>
          <w:i/>
          <w:sz w:val="19"/>
          <w:szCs w:val="19"/>
        </w:rPr>
        <w:t>Teaching in Higher Education</w:t>
      </w:r>
      <w:r w:rsidRPr="003E5C24">
        <w:rPr>
          <w:sz w:val="19"/>
          <w:szCs w:val="19"/>
        </w:rPr>
        <w:t>. 13(4) pp 461-475</w:t>
      </w:r>
    </w:p>
    <w:p w:rsidR="007600EB" w:rsidRPr="003E5C24" w:rsidRDefault="007600EB" w:rsidP="007600EB">
      <w:pPr>
        <w:ind w:left="720" w:hanging="720"/>
        <w:rPr>
          <w:sz w:val="19"/>
          <w:szCs w:val="19"/>
        </w:rPr>
      </w:pPr>
      <w:r w:rsidRPr="003E5C24">
        <w:rPr>
          <w:sz w:val="19"/>
          <w:szCs w:val="19"/>
        </w:rPr>
        <w:t xml:space="preserve">Taylor, J.C. 1995. Distance education technologies: the fourth generation. 338 </w:t>
      </w:r>
      <w:r w:rsidRPr="003E5C24">
        <w:rPr>
          <w:i/>
          <w:sz w:val="19"/>
          <w:szCs w:val="19"/>
        </w:rPr>
        <w:t>Australian journal of educational technology</w:t>
      </w:r>
      <w:r w:rsidRPr="003E5C24">
        <w:rPr>
          <w:sz w:val="19"/>
          <w:szCs w:val="19"/>
        </w:rPr>
        <w:t>, 11(2):1-7.</w:t>
      </w:r>
    </w:p>
    <w:p w:rsidR="007600EB" w:rsidRPr="003E5C24" w:rsidRDefault="007600EB" w:rsidP="007600EB">
      <w:pPr>
        <w:ind w:left="720" w:hanging="720"/>
        <w:rPr>
          <w:sz w:val="19"/>
          <w:szCs w:val="19"/>
        </w:rPr>
      </w:pPr>
      <w:r w:rsidRPr="003E5C24">
        <w:rPr>
          <w:sz w:val="19"/>
          <w:szCs w:val="19"/>
        </w:rPr>
        <w:t xml:space="preserve">Taylor, J.C. 1997. Technology, pedagogy and globalisation. University of Southern Queensland. (Keynote address: Asia-Pacific Workshop on Vocational Education and Distance Education. Korea National Open University, Seoul, 8 -10 October 1996.) </w:t>
      </w:r>
    </w:p>
    <w:p w:rsidR="007600EB" w:rsidRPr="003E5C24" w:rsidRDefault="007600EB" w:rsidP="007600EB">
      <w:pPr>
        <w:ind w:left="720" w:hanging="720"/>
        <w:rPr>
          <w:sz w:val="19"/>
          <w:szCs w:val="19"/>
        </w:rPr>
      </w:pPr>
      <w:r w:rsidRPr="003E5C24">
        <w:rPr>
          <w:sz w:val="19"/>
          <w:szCs w:val="19"/>
        </w:rPr>
        <w:t xml:space="preserve">Taylor, J.C. 2001. Fifth generation distance education. (20th ICDE World Conference on Open Learning and Distance Education. Future of learning - learning for the future: shaping the transition. Düsseldorf, Germany, 1-5 April 2001.) </w:t>
      </w:r>
    </w:p>
    <w:p w:rsidR="007600EB" w:rsidRPr="003E5C24" w:rsidRDefault="007600EB" w:rsidP="007600EB">
      <w:pPr>
        <w:ind w:left="720" w:hanging="720"/>
        <w:rPr>
          <w:sz w:val="19"/>
          <w:szCs w:val="19"/>
        </w:rPr>
      </w:pPr>
      <w:r w:rsidRPr="003E5C24">
        <w:rPr>
          <w:sz w:val="19"/>
          <w:szCs w:val="19"/>
        </w:rPr>
        <w:t>Taylor, J.C. 2003. Automating e-learning: the higher education revolution. http.//www.usqeduausers/talorj Date of access 9 September 2008.</w:t>
      </w:r>
    </w:p>
    <w:p w:rsidR="007600EB" w:rsidRPr="003E5C24" w:rsidRDefault="007600EB" w:rsidP="007600EB">
      <w:pPr>
        <w:ind w:left="720" w:hanging="720"/>
        <w:rPr>
          <w:sz w:val="19"/>
          <w:szCs w:val="19"/>
        </w:rPr>
      </w:pPr>
      <w:r w:rsidRPr="003E5C24">
        <w:rPr>
          <w:sz w:val="19"/>
          <w:szCs w:val="19"/>
        </w:rPr>
        <w:t xml:space="preserve">Tshibalo, A.E.2007. The potential impact of computer-aided assessment technology in higher education. </w:t>
      </w:r>
      <w:r w:rsidRPr="003E5C24">
        <w:rPr>
          <w:i/>
          <w:sz w:val="19"/>
          <w:szCs w:val="19"/>
        </w:rPr>
        <w:t>South African journal of higher education</w:t>
      </w:r>
      <w:r w:rsidRPr="003E5C24">
        <w:rPr>
          <w:sz w:val="19"/>
          <w:szCs w:val="19"/>
        </w:rPr>
        <w:t>, 21(6): 686-695.</w:t>
      </w:r>
    </w:p>
    <w:p w:rsidR="007600EB" w:rsidRPr="003E5C24" w:rsidRDefault="007600EB" w:rsidP="007600EB">
      <w:pPr>
        <w:ind w:left="720" w:hanging="720"/>
        <w:rPr>
          <w:sz w:val="19"/>
          <w:szCs w:val="19"/>
        </w:rPr>
      </w:pPr>
      <w:r w:rsidRPr="003E5C24">
        <w:rPr>
          <w:sz w:val="19"/>
          <w:szCs w:val="19"/>
        </w:rPr>
        <w:lastRenderedPageBreak/>
        <w:t>Tunjera,N., Mukabeta,T., Ramirez,T., Zinyeka,G. 2014. Using a Mobile Application to Increase Interaction amongst Students in an Open and Distance Learning</w:t>
      </w:r>
    </w:p>
    <w:p w:rsidR="007600EB" w:rsidRPr="003E5C24" w:rsidRDefault="007600EB" w:rsidP="007600EB">
      <w:pPr>
        <w:ind w:left="720" w:hanging="720"/>
        <w:rPr>
          <w:sz w:val="19"/>
          <w:szCs w:val="19"/>
        </w:rPr>
      </w:pPr>
      <w:r w:rsidRPr="003E5C24">
        <w:rPr>
          <w:sz w:val="19"/>
          <w:szCs w:val="19"/>
        </w:rPr>
        <w:t xml:space="preserve">Programme in Zimbabwe: A Cultural Historical Activity Learning Theory Perspective. </w:t>
      </w:r>
      <w:r w:rsidRPr="003E5C24">
        <w:rPr>
          <w:i/>
          <w:sz w:val="19"/>
          <w:szCs w:val="19"/>
        </w:rPr>
        <w:t>Journal of Education &amp; Human Development.</w:t>
      </w:r>
      <w:r w:rsidRPr="003E5C24">
        <w:rPr>
          <w:sz w:val="19"/>
          <w:szCs w:val="19"/>
        </w:rPr>
        <w:t xml:space="preserve"> 3: 573-592</w:t>
      </w:r>
    </w:p>
    <w:p w:rsidR="007600EB" w:rsidRPr="003E5C24" w:rsidRDefault="007600EB" w:rsidP="007600EB">
      <w:pPr>
        <w:ind w:left="720" w:hanging="720"/>
        <w:rPr>
          <w:sz w:val="19"/>
          <w:szCs w:val="19"/>
        </w:rPr>
      </w:pPr>
      <w:r w:rsidRPr="003E5C24">
        <w:rPr>
          <w:color w:val="000000"/>
          <w:sz w:val="19"/>
          <w:szCs w:val="19"/>
          <w:lang w:eastAsia="en-ZA"/>
        </w:rPr>
        <w:t>Van Zyl. M.J.,Els, C.J.,Blignaut, A.S.</w:t>
      </w:r>
      <w:r w:rsidRPr="003E5C24">
        <w:rPr>
          <w:sz w:val="19"/>
          <w:szCs w:val="19"/>
        </w:rPr>
        <w:t xml:space="preserve"> 2013.</w:t>
      </w:r>
      <w:r w:rsidRPr="003E5C24">
        <w:rPr>
          <w:color w:val="000000"/>
          <w:sz w:val="19"/>
          <w:szCs w:val="19"/>
          <w:lang w:eastAsia="en-ZA"/>
        </w:rPr>
        <w:t xml:space="preserve"> </w:t>
      </w:r>
      <w:r w:rsidRPr="003E5C24">
        <w:rPr>
          <w:bCs/>
          <w:color w:val="000000"/>
          <w:sz w:val="19"/>
          <w:szCs w:val="19"/>
          <w:lang w:eastAsia="en-ZA"/>
        </w:rPr>
        <w:t xml:space="preserve">Development of ODL in a Newly Industrialized Country according to Face-to-Face Contact, ICT, and E-Readiness . </w:t>
      </w:r>
      <w:r w:rsidRPr="003E5C24">
        <w:rPr>
          <w:bCs/>
          <w:i/>
          <w:color w:val="000000"/>
          <w:sz w:val="19"/>
          <w:szCs w:val="19"/>
          <w:lang w:eastAsia="en-ZA"/>
        </w:rPr>
        <w:t xml:space="preserve">The International review of research in Open and distance learning. </w:t>
      </w:r>
      <w:r w:rsidRPr="003E5C24">
        <w:rPr>
          <w:sz w:val="19"/>
          <w:szCs w:val="19"/>
        </w:rPr>
        <w:t>14(1):84-104</w:t>
      </w:r>
    </w:p>
    <w:p w:rsidR="007600EB" w:rsidRPr="003E5C24" w:rsidRDefault="007600EB" w:rsidP="007600EB">
      <w:pPr>
        <w:ind w:left="720" w:hanging="720"/>
        <w:rPr>
          <w:sz w:val="19"/>
          <w:szCs w:val="19"/>
        </w:rPr>
      </w:pPr>
      <w:r w:rsidRPr="003E5C24">
        <w:rPr>
          <w:sz w:val="19"/>
          <w:szCs w:val="19"/>
        </w:rPr>
        <w:t xml:space="preserve">Vrasidas, C. 2000. Constructivism versus Objectivism: Implications for interaction, course design, and evaluation in distance education. </w:t>
      </w:r>
      <w:r w:rsidRPr="003E5C24">
        <w:rPr>
          <w:i/>
          <w:sz w:val="19"/>
          <w:szCs w:val="19"/>
        </w:rPr>
        <w:t xml:space="preserve">International Journal of Educational Telecommunications. </w:t>
      </w:r>
      <w:r w:rsidRPr="003E5C24">
        <w:rPr>
          <w:sz w:val="19"/>
          <w:szCs w:val="19"/>
        </w:rPr>
        <w:t>6(4):339-362.</w:t>
      </w:r>
    </w:p>
    <w:p w:rsidR="007600EB" w:rsidRPr="003E5C24" w:rsidRDefault="007600EB" w:rsidP="007600EB">
      <w:pPr>
        <w:ind w:left="720" w:hanging="720"/>
        <w:rPr>
          <w:sz w:val="19"/>
          <w:szCs w:val="19"/>
        </w:rPr>
      </w:pPr>
      <w:r w:rsidRPr="003E5C24">
        <w:rPr>
          <w:sz w:val="19"/>
          <w:szCs w:val="19"/>
        </w:rPr>
        <w:t xml:space="preserve">Venter, E. 2001. A constructivist approach to learning and teaching. </w:t>
      </w:r>
      <w:r w:rsidRPr="003E5C24">
        <w:rPr>
          <w:i/>
          <w:sz w:val="19"/>
          <w:szCs w:val="19"/>
        </w:rPr>
        <w:t>South African journal of higher education</w:t>
      </w:r>
      <w:r w:rsidRPr="003E5C24">
        <w:rPr>
          <w:sz w:val="19"/>
          <w:szCs w:val="19"/>
        </w:rPr>
        <w:t>, 15(2):86-92.</w:t>
      </w:r>
    </w:p>
    <w:p w:rsidR="007600EB" w:rsidRPr="003E5C24" w:rsidRDefault="007600EB" w:rsidP="007600EB">
      <w:pPr>
        <w:ind w:left="720" w:hanging="720"/>
        <w:rPr>
          <w:sz w:val="19"/>
          <w:szCs w:val="19"/>
        </w:rPr>
      </w:pPr>
      <w:r w:rsidRPr="003E5C24">
        <w:rPr>
          <w:sz w:val="19"/>
          <w:szCs w:val="19"/>
        </w:rPr>
        <w:t xml:space="preserve">Venter, E..Van Heerden, E. 2001. Expectations of students versus expectations of lecturers in a postgraduate module in open and distance learning. </w:t>
      </w:r>
      <w:r w:rsidRPr="003E5C24">
        <w:rPr>
          <w:i/>
          <w:sz w:val="19"/>
          <w:szCs w:val="19"/>
        </w:rPr>
        <w:t xml:space="preserve">Progressio </w:t>
      </w:r>
      <w:r w:rsidRPr="003E5C24">
        <w:rPr>
          <w:sz w:val="19"/>
          <w:szCs w:val="19"/>
        </w:rPr>
        <w:t>23(1): 20-29</w:t>
      </w:r>
    </w:p>
    <w:p w:rsidR="007600EB" w:rsidRPr="003E5C24" w:rsidRDefault="007600EB" w:rsidP="007600EB">
      <w:pPr>
        <w:ind w:left="720" w:hanging="720"/>
        <w:rPr>
          <w:sz w:val="19"/>
          <w:szCs w:val="19"/>
        </w:rPr>
      </w:pPr>
      <w:r w:rsidRPr="003E5C24">
        <w:rPr>
          <w:sz w:val="19"/>
          <w:szCs w:val="19"/>
        </w:rPr>
        <w:t xml:space="preserve">Vrugt, A., Oort, F. 2008. Metacognition, achievement goals, study strategies and academic achievement: pathways to achievement. </w:t>
      </w:r>
      <w:r w:rsidRPr="003E5C24">
        <w:rPr>
          <w:i/>
          <w:sz w:val="19"/>
          <w:szCs w:val="19"/>
        </w:rPr>
        <w:t>Metacognition and Learning</w:t>
      </w:r>
      <w:r w:rsidRPr="003E5C24">
        <w:rPr>
          <w:sz w:val="19"/>
          <w:szCs w:val="19"/>
        </w:rPr>
        <w:t>. 3: 123-146.</w:t>
      </w:r>
    </w:p>
    <w:p w:rsidR="007600EB" w:rsidRPr="003E5C24" w:rsidRDefault="007600EB" w:rsidP="007600EB">
      <w:pPr>
        <w:ind w:left="720" w:hanging="720"/>
        <w:rPr>
          <w:sz w:val="19"/>
          <w:szCs w:val="19"/>
        </w:rPr>
      </w:pPr>
      <w:r w:rsidRPr="003E5C24">
        <w:rPr>
          <w:sz w:val="19"/>
          <w:szCs w:val="19"/>
        </w:rPr>
        <w:t xml:space="preserve">Wang, V.C.X. &amp; Kreysa, P. 2006. Instructional strategies of distance education instructors in China. Journal of adult learning, 2(2):32-51. </w:t>
      </w:r>
      <w:hyperlink r:id="rId41" w:history="1">
        <w:r w:rsidRPr="003E5C24">
          <w:rPr>
            <w:sz w:val="19"/>
            <w:szCs w:val="19"/>
          </w:rPr>
          <w:t>http://www.academics</w:t>
        </w:r>
      </w:hyperlink>
      <w:r w:rsidRPr="003E5C24">
        <w:rPr>
          <w:sz w:val="19"/>
          <w:szCs w:val="19"/>
        </w:rPr>
        <w:t xml:space="preserve">. georgiasouthern.edu/ijsotl/ </w:t>
      </w:r>
      <w:r w:rsidRPr="003E5C24">
        <w:rPr>
          <w:sz w:val="19"/>
          <w:szCs w:val="19"/>
        </w:rPr>
        <w:br/>
        <w:t>Date of access 30 October 2010.</w:t>
      </w:r>
    </w:p>
    <w:p w:rsidR="007600EB" w:rsidRPr="003E5C24" w:rsidRDefault="007600EB" w:rsidP="007600EB">
      <w:pPr>
        <w:ind w:left="720" w:hanging="720"/>
        <w:rPr>
          <w:sz w:val="19"/>
          <w:szCs w:val="19"/>
        </w:rPr>
      </w:pPr>
      <w:r w:rsidRPr="003E5C24">
        <w:rPr>
          <w:sz w:val="19"/>
          <w:szCs w:val="19"/>
        </w:rPr>
        <w:t xml:space="preserve">Willems, J. 2005. Spanning the „generations‟: reflections on twenty years of maintaining momentum. (In Australasian Society for Computers in Learning in Tertiary Education (Ascilite). Balance, fidelity, mobility: maintaining the momentum? p. 717-724.) </w:t>
      </w:r>
    </w:p>
    <w:p w:rsidR="007600EB" w:rsidRPr="003E5C24" w:rsidRDefault="007600EB" w:rsidP="007600EB">
      <w:pPr>
        <w:ind w:left="720" w:hanging="720"/>
        <w:rPr>
          <w:sz w:val="19"/>
          <w:szCs w:val="19"/>
        </w:rPr>
      </w:pPr>
      <w:r w:rsidRPr="003E5C24">
        <w:rPr>
          <w:sz w:val="19"/>
          <w:szCs w:val="19"/>
        </w:rPr>
        <w:t>Williams, J.B. &amp; Goldberg, M. 2005. The evolution of e-learning. (In Australasian Society for Computers In Learning In Tertiary Education (Ascilite). Balance, fidelity, mobility: maintaining the momentum? p. 726-728.)</w:t>
      </w:r>
    </w:p>
    <w:p w:rsidR="007600EB" w:rsidRPr="003E5C24" w:rsidRDefault="007600EB" w:rsidP="007600EB">
      <w:pPr>
        <w:ind w:left="720" w:hanging="720"/>
        <w:rPr>
          <w:rFonts w:eastAsia="Calibri"/>
          <w:sz w:val="19"/>
          <w:szCs w:val="19"/>
        </w:rPr>
      </w:pPr>
      <w:r w:rsidRPr="003E5C24">
        <w:rPr>
          <w:rFonts w:eastAsia="Calibri"/>
          <w:sz w:val="19"/>
          <w:szCs w:val="19"/>
        </w:rPr>
        <w:t>Zhoa, Y., Lei, J., Yan, B.C. &amp; Tan, H.S. 2005. What makes the difference? A practical analysis of research on the effectiveness of distance education. Teachers 342 College record, 107:1836-1884.</w:t>
      </w:r>
    </w:p>
    <w:p w:rsidR="007600EB" w:rsidRPr="003E5C24" w:rsidRDefault="007600EB" w:rsidP="007600EB">
      <w:pPr>
        <w:ind w:left="720" w:hanging="720"/>
        <w:rPr>
          <w:sz w:val="19"/>
          <w:szCs w:val="19"/>
        </w:rPr>
      </w:pPr>
      <w:r w:rsidRPr="003E5C24">
        <w:rPr>
          <w:sz w:val="19"/>
          <w:szCs w:val="19"/>
        </w:rPr>
        <w:t xml:space="preserve">Zimmerman, B.J. (1989). A social cognitive view of self-regulated academic learning. </w:t>
      </w:r>
      <w:r w:rsidRPr="003E5C24">
        <w:rPr>
          <w:i/>
          <w:sz w:val="19"/>
          <w:szCs w:val="19"/>
        </w:rPr>
        <w:t>Journal of Educational Psychology</w:t>
      </w:r>
      <w:r w:rsidRPr="003E5C24">
        <w:rPr>
          <w:sz w:val="19"/>
          <w:szCs w:val="19"/>
        </w:rPr>
        <w:t>, 81, 329-339.</w:t>
      </w:r>
    </w:p>
    <w:p w:rsidR="007600EB" w:rsidRPr="003E5C24" w:rsidRDefault="007600EB" w:rsidP="007600EB">
      <w:pPr>
        <w:ind w:left="720" w:hanging="720"/>
        <w:rPr>
          <w:sz w:val="19"/>
          <w:szCs w:val="19"/>
        </w:rPr>
      </w:pPr>
      <w:r w:rsidRPr="003E5C24">
        <w:rPr>
          <w:sz w:val="19"/>
          <w:szCs w:val="19"/>
        </w:rPr>
        <w:t xml:space="preserve">Zimmerman, B.J. 2002. Becoming a self-regulated learner: an overview: Theory into practice. </w:t>
      </w:r>
      <w:r w:rsidRPr="003E5C24">
        <w:rPr>
          <w:i/>
          <w:sz w:val="19"/>
          <w:szCs w:val="19"/>
        </w:rPr>
        <w:t>Spring</w:t>
      </w:r>
      <w:r w:rsidRPr="003E5C24">
        <w:rPr>
          <w:sz w:val="19"/>
          <w:szCs w:val="19"/>
        </w:rPr>
        <w:t>, 41(2):64-70</w:t>
      </w:r>
    </w:p>
    <w:p w:rsidR="007600EB" w:rsidRPr="003E5C24" w:rsidRDefault="007600EB" w:rsidP="007600EB">
      <w:pPr>
        <w:ind w:left="720" w:hanging="720"/>
        <w:rPr>
          <w:sz w:val="19"/>
          <w:szCs w:val="19"/>
        </w:rPr>
      </w:pPr>
      <w:r w:rsidRPr="003E5C24">
        <w:rPr>
          <w:sz w:val="19"/>
          <w:szCs w:val="19"/>
        </w:rPr>
        <w:t xml:space="preserve">Zuhari, A., Wahyono, E. &amp; Suratinah, S. 2006. The historical context, current development, and future challenges of distance education in Indonesia. </w:t>
      </w:r>
      <w:r w:rsidRPr="003E5C24">
        <w:rPr>
          <w:i/>
          <w:sz w:val="19"/>
          <w:szCs w:val="19"/>
        </w:rPr>
        <w:t>Quarterly review of education,</w:t>
      </w:r>
      <w:r w:rsidRPr="003E5C24">
        <w:rPr>
          <w:sz w:val="19"/>
          <w:szCs w:val="19"/>
        </w:rPr>
        <w:t xml:space="preserve"> 71(1):95-101.</w:t>
      </w:r>
    </w:p>
    <w:p w:rsidR="007600EB" w:rsidRDefault="007600EB" w:rsidP="008C4EBF">
      <w:pPr>
        <w:pStyle w:val="Heading7"/>
      </w:pPr>
      <w:r>
        <w:t xml:space="preserve">About the </w:t>
      </w:r>
      <w:r w:rsidR="003E5C24">
        <w:t>a</w:t>
      </w:r>
      <w:r>
        <w:t>uthor</w:t>
      </w:r>
    </w:p>
    <w:tbl>
      <w:tblPr>
        <w:tblW w:w="0" w:type="auto"/>
        <w:tblLook w:val="04A0" w:firstRow="1" w:lastRow="0" w:firstColumn="1" w:lastColumn="0" w:noHBand="0" w:noVBand="1"/>
      </w:tblPr>
      <w:tblGrid>
        <w:gridCol w:w="1890"/>
        <w:gridCol w:w="6750"/>
      </w:tblGrid>
      <w:tr w:rsidR="007600EB" w:rsidRPr="00B31588" w:rsidTr="003E5C24">
        <w:tc>
          <w:tcPr>
            <w:tcW w:w="1890" w:type="dxa"/>
            <w:shd w:val="clear" w:color="auto" w:fill="auto"/>
          </w:tcPr>
          <w:p w:rsidR="007600EB" w:rsidRPr="00B31588" w:rsidRDefault="007600EB" w:rsidP="007600EB">
            <w:pPr>
              <w:rPr>
                <w:sz w:val="20"/>
              </w:rPr>
            </w:pPr>
            <w:r w:rsidRPr="00B31588">
              <w:rPr>
                <w:noProof/>
                <w:color w:val="4A4A4A"/>
                <w:sz w:val="20"/>
              </w:rPr>
              <w:drawing>
                <wp:inline distT="0" distB="0" distL="0" distR="0" wp14:anchorId="58BB8EBA" wp14:editId="2E5F4FC9">
                  <wp:extent cx="804170" cy="1204111"/>
                  <wp:effectExtent l="0" t="0" r="0" b="0"/>
                  <wp:docPr id="6" name="Picture 6" descr="http://www.nwu.ac.za/sites/www.nwu.ac.za/files/files/p-fes/images/p_fes_fakulteit4/BernadetteGed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wu.ac.za/sites/www.nwu.ac.za/files/files/p-fes/images/p_fes_fakulteit4/BernadetteGedul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2969" cy="1217286"/>
                          </a:xfrm>
                          <a:prstGeom prst="rect">
                            <a:avLst/>
                          </a:prstGeom>
                          <a:noFill/>
                          <a:ln>
                            <a:noFill/>
                          </a:ln>
                        </pic:spPr>
                      </pic:pic>
                    </a:graphicData>
                  </a:graphic>
                </wp:inline>
              </w:drawing>
            </w:r>
          </w:p>
        </w:tc>
        <w:tc>
          <w:tcPr>
            <w:tcW w:w="6750" w:type="dxa"/>
            <w:shd w:val="clear" w:color="auto" w:fill="auto"/>
          </w:tcPr>
          <w:p w:rsidR="007600EB" w:rsidRPr="00B31588" w:rsidRDefault="007600EB" w:rsidP="007600EB">
            <w:pPr>
              <w:rPr>
                <w:szCs w:val="22"/>
              </w:rPr>
            </w:pPr>
            <w:r w:rsidRPr="00B31588">
              <w:rPr>
                <w:rFonts w:ascii="Arial" w:hAnsi="Arial" w:cs="Arial"/>
                <w:b/>
                <w:sz w:val="24"/>
                <w:szCs w:val="24"/>
              </w:rPr>
              <w:t>Dr Bernadette Geduld</w:t>
            </w:r>
            <w:r w:rsidRPr="00B31588">
              <w:rPr>
                <w:szCs w:val="22"/>
              </w:rPr>
              <w:t xml:space="preserve"> is Senior Lecturer in Curriculum Studies, Philosophy and Research Methodology at North-West University, Potchefstroom Campus, South Africa.</w:t>
            </w:r>
          </w:p>
          <w:p w:rsidR="007600EB" w:rsidRPr="00B31588" w:rsidRDefault="00E635E1" w:rsidP="007600EB">
            <w:pPr>
              <w:rPr>
                <w:rFonts w:ascii="Times New Roman" w:hAnsi="Times New Roman"/>
                <w:sz w:val="20"/>
              </w:rPr>
            </w:pPr>
            <w:hyperlink r:id="rId43" w:history="1">
              <w:r w:rsidR="007600EB" w:rsidRPr="00B31588">
                <w:rPr>
                  <w:rStyle w:val="Hyperlink"/>
                  <w:rFonts w:ascii="Times New Roman" w:hAnsi="Times New Roman"/>
                  <w:szCs w:val="22"/>
                </w:rPr>
                <w:t>bernadette.geduld@nwu.ac.za</w:t>
              </w:r>
            </w:hyperlink>
          </w:p>
        </w:tc>
      </w:tr>
    </w:tbl>
    <w:p w:rsidR="003E5C24" w:rsidRDefault="003E5C24">
      <w:pPr>
        <w:spacing w:before="0" w:after="0"/>
      </w:pPr>
    </w:p>
    <w:p w:rsidR="003E5C24" w:rsidRDefault="003E5C24">
      <w:pPr>
        <w:spacing w:before="0" w:after="0"/>
      </w:pPr>
    </w:p>
    <w:p w:rsidR="003E5C24" w:rsidRDefault="003E5C24">
      <w:pPr>
        <w:spacing w:before="0" w:after="0"/>
      </w:pPr>
    </w:p>
    <w:p w:rsidR="003E5C24" w:rsidRDefault="003E5C24">
      <w:pPr>
        <w:spacing w:before="0" w:after="0"/>
      </w:pPr>
    </w:p>
    <w:p w:rsidR="003E5C24" w:rsidRDefault="003E5C24">
      <w:pPr>
        <w:spacing w:before="0" w:after="0"/>
      </w:pPr>
    </w:p>
    <w:p w:rsidR="00704D56" w:rsidRDefault="00E635E1">
      <w:pPr>
        <w:spacing w:before="0" w:after="0"/>
        <w:rPr>
          <w:rFonts w:ascii="Arial" w:hAnsi="Arial" w:cs="Arial"/>
          <w:color w:val="000000"/>
          <w:sz w:val="18"/>
          <w:szCs w:val="18"/>
          <w:lang w:eastAsia="zh-CN"/>
        </w:rPr>
      </w:pPr>
      <w:hyperlink w:anchor="TOC" w:history="1">
        <w:r w:rsidR="003E5C24" w:rsidRPr="00911C00">
          <w:rPr>
            <w:rStyle w:val="Hyperlink"/>
            <w:rFonts w:ascii="Arial" w:hAnsi="Arial" w:cs="Arial"/>
            <w:sz w:val="16"/>
            <w:szCs w:val="16"/>
          </w:rPr>
          <w:t>Return to Table of Contents</w:t>
        </w:r>
      </w:hyperlink>
      <w:r w:rsidR="007600EB">
        <w:br w:type="page"/>
      </w:r>
    </w:p>
    <w:p w:rsidR="007600EB" w:rsidRPr="008C4EBF" w:rsidRDefault="007600EB" w:rsidP="008C4EBF">
      <w:pPr>
        <w:pStyle w:val="Note"/>
      </w:pPr>
      <w:r w:rsidRPr="00255788">
        <w:rPr>
          <w:b/>
        </w:rPr>
        <w:lastRenderedPageBreak/>
        <w:t xml:space="preserve">Editor’s </w:t>
      </w:r>
      <w:r w:rsidR="00255788">
        <w:rPr>
          <w:b/>
        </w:rPr>
        <w:t>n</w:t>
      </w:r>
      <w:r w:rsidRPr="00255788">
        <w:rPr>
          <w:b/>
        </w:rPr>
        <w:t>ote</w:t>
      </w:r>
      <w:r w:rsidRPr="008C4EBF">
        <w:t xml:space="preserve">:  </w:t>
      </w:r>
      <w:r w:rsidR="00255788">
        <w:t xml:space="preserve">This is a challenging topic because different of content, pedagogy, class size and media impact the bottom line. </w:t>
      </w:r>
      <w:r w:rsidR="00FB2F59">
        <w:t>A</w:t>
      </w:r>
      <w:r w:rsidR="000A283D">
        <w:t xml:space="preserve"> transition cost and a materials development cost</w:t>
      </w:r>
      <w:r w:rsidR="00FB2F59">
        <w:t xml:space="preserve"> is involved</w:t>
      </w:r>
      <w:r w:rsidR="000A283D">
        <w:t>. Once initiated, the curriculum and materials can be continually updated and upgraded. My university paid faculty $2</w:t>
      </w:r>
      <w:r w:rsidR="00FB2F59">
        <w:t>,</w:t>
      </w:r>
      <w:r w:rsidR="000A283D">
        <w:t xml:space="preserve">500 and gave them design and production assistance to develop open distance learning </w:t>
      </w:r>
      <w:r w:rsidR="00E50348">
        <w:t xml:space="preserve">versions of their </w:t>
      </w:r>
      <w:r w:rsidR="000A283D">
        <w:t xml:space="preserve">courses. </w:t>
      </w:r>
      <w:r w:rsidR="00FB2F59">
        <w:br/>
      </w:r>
      <w:r w:rsidR="000A283D">
        <w:t xml:space="preserve">A publishing or media </w:t>
      </w:r>
      <w:r w:rsidR="00E50348">
        <w:t>production</w:t>
      </w:r>
      <w:r w:rsidR="000A283D">
        <w:t xml:space="preserve"> company would </w:t>
      </w:r>
      <w:r w:rsidR="00FB2F59">
        <w:t>have different costs and</w:t>
      </w:r>
      <w:r w:rsidR="000A283D">
        <w:t xml:space="preserve"> a very differ</w:t>
      </w:r>
      <w:r w:rsidR="00E50348">
        <w:t>ent business model. The discussion that follows establishes a practical baseline for financial planning and analysis.</w:t>
      </w:r>
    </w:p>
    <w:p w:rsidR="007600EB" w:rsidRPr="008C4EBF" w:rsidRDefault="007600EB" w:rsidP="008C4EBF">
      <w:pPr>
        <w:pStyle w:val="Note"/>
      </w:pPr>
    </w:p>
    <w:p w:rsidR="007600EB" w:rsidRPr="004328F8" w:rsidRDefault="007600EB" w:rsidP="008C4EBF">
      <w:pPr>
        <w:pStyle w:val="Heading6"/>
      </w:pPr>
      <w:bookmarkStart w:id="9" w:name="_Cost_Analysis_of"/>
      <w:bookmarkEnd w:id="9"/>
      <w:r w:rsidRPr="004328F8">
        <w:t xml:space="preserve">Cost </w:t>
      </w:r>
      <w:r w:rsidR="000A283D">
        <w:t>a</w:t>
      </w:r>
      <w:r w:rsidRPr="004328F8">
        <w:t>nalysis of Web-</w:t>
      </w:r>
      <w:r w:rsidR="00FB2F59">
        <w:t>b</w:t>
      </w:r>
      <w:r w:rsidRPr="004328F8">
        <w:t xml:space="preserve">ased </w:t>
      </w:r>
      <w:r w:rsidR="00FB2F59">
        <w:t>d</w:t>
      </w:r>
      <w:r w:rsidRPr="004328F8">
        <w:t xml:space="preserve">istance </w:t>
      </w:r>
      <w:r w:rsidR="00FB2F59">
        <w:t>l</w:t>
      </w:r>
      <w:r w:rsidRPr="004328F8">
        <w:t>earning</w:t>
      </w:r>
      <w:r w:rsidR="00FB2F59">
        <w:t>:</w:t>
      </w:r>
      <w:bookmarkStart w:id="10" w:name="_GoBack"/>
      <w:bookmarkEnd w:id="10"/>
      <w:r w:rsidRPr="004328F8">
        <w:t xml:space="preserve">  </w:t>
      </w:r>
    </w:p>
    <w:p w:rsidR="007600EB" w:rsidRPr="008C4EBF" w:rsidRDefault="007600EB" w:rsidP="008C4EBF">
      <w:pPr>
        <w:pStyle w:val="Heading5"/>
        <w:rPr>
          <w:sz w:val="28"/>
          <w:szCs w:val="28"/>
        </w:rPr>
      </w:pPr>
      <w:r w:rsidRPr="008C4EBF">
        <w:rPr>
          <w:sz w:val="28"/>
          <w:szCs w:val="28"/>
        </w:rPr>
        <w:t xml:space="preserve">A Discounted Cash Flow </w:t>
      </w:r>
      <w:r w:rsidR="000A283D">
        <w:rPr>
          <w:sz w:val="28"/>
          <w:szCs w:val="28"/>
        </w:rPr>
        <w:t>a</w:t>
      </w:r>
      <w:r w:rsidRPr="008C4EBF">
        <w:rPr>
          <w:sz w:val="28"/>
          <w:szCs w:val="28"/>
        </w:rPr>
        <w:t>nalysis</w:t>
      </w:r>
    </w:p>
    <w:p w:rsidR="007600EB" w:rsidRPr="008C4EBF" w:rsidRDefault="007600EB" w:rsidP="008C4EBF">
      <w:pPr>
        <w:pStyle w:val="Heading5"/>
        <w:rPr>
          <w:sz w:val="22"/>
          <w:szCs w:val="22"/>
        </w:rPr>
      </w:pPr>
      <w:r w:rsidRPr="008C4EBF">
        <w:rPr>
          <w:sz w:val="22"/>
          <w:szCs w:val="22"/>
        </w:rPr>
        <w:t>Chris Garbett</w:t>
      </w:r>
    </w:p>
    <w:p w:rsidR="007600EB" w:rsidRPr="000A283D" w:rsidRDefault="008C4EBF" w:rsidP="008C4EBF">
      <w:pPr>
        <w:pStyle w:val="Heading5"/>
        <w:rPr>
          <w:sz w:val="18"/>
          <w:szCs w:val="18"/>
        </w:rPr>
      </w:pPr>
      <w:r w:rsidRPr="000A283D">
        <w:rPr>
          <w:sz w:val="18"/>
          <w:szCs w:val="18"/>
        </w:rPr>
        <w:t>UK</w:t>
      </w:r>
    </w:p>
    <w:p w:rsidR="007600EB" w:rsidRPr="000A283D" w:rsidRDefault="007600EB" w:rsidP="008C4EBF">
      <w:pPr>
        <w:pStyle w:val="Heading7"/>
        <w:rPr>
          <w:szCs w:val="22"/>
        </w:rPr>
      </w:pPr>
      <w:r w:rsidRPr="000A283D">
        <w:rPr>
          <w:szCs w:val="22"/>
        </w:rPr>
        <w:t>Abstract</w:t>
      </w:r>
    </w:p>
    <w:p w:rsidR="007600EB" w:rsidRPr="00413BC4" w:rsidRDefault="007600EB" w:rsidP="007600EB">
      <w:pPr>
        <w:rPr>
          <w:lang w:eastAsia="en-GB"/>
        </w:rPr>
      </w:pPr>
      <w:r w:rsidRPr="00413BC4">
        <w:rPr>
          <w:lang w:eastAsia="en-GB"/>
        </w:rPr>
        <w:t>Although the teaching and learning aspects of E-Learning have been examined in depth, and the overall financial implications of E-Learning considered, there is comparatively little quantitative research into the finances of E-Learning.  This paper seeks to address this data limitation by examining the financial case for E-Learning; specifically Web-Based Distance Learning (WBDL).  The aim of the research is to create a model to quantify the financial case for WBDL under different circumstances. This has relevance to designers and managers of programmes.</w:t>
      </w:r>
    </w:p>
    <w:p w:rsidR="007600EB" w:rsidRPr="00413BC4" w:rsidRDefault="007600EB" w:rsidP="007600EB">
      <w:pPr>
        <w:rPr>
          <w:lang w:eastAsia="en-GB"/>
        </w:rPr>
      </w:pPr>
      <w:r w:rsidRPr="00413BC4">
        <w:rPr>
          <w:lang w:eastAsia="en-GB"/>
        </w:rPr>
        <w:t>Using data from published case-studies, this paper examines the income, expenditure, and revenue streams of WBDL courses.  A Discounted Cash Flow (DCF) model is used to</w:t>
      </w:r>
      <w:r w:rsidRPr="00413BC4">
        <w:rPr>
          <w:lang w:val="en-GB" w:eastAsia="en-GB"/>
        </w:rPr>
        <w:t xml:space="preserve"> analyse</w:t>
      </w:r>
      <w:r w:rsidRPr="00413BC4">
        <w:rPr>
          <w:lang w:eastAsia="en-GB"/>
        </w:rPr>
        <w:t xml:space="preserve"> the cost and revenue streams.  A stochastic modeling approach is then applied to the DCF to analysis the implications, under varying conditions.</w:t>
      </w:r>
    </w:p>
    <w:p w:rsidR="007600EB" w:rsidRPr="00413BC4" w:rsidRDefault="007600EB" w:rsidP="007600EB">
      <w:pPr>
        <w:rPr>
          <w:lang w:eastAsia="en-GB"/>
        </w:rPr>
      </w:pPr>
      <w:r w:rsidRPr="00413BC4">
        <w:rPr>
          <w:lang w:eastAsia="en-GB"/>
        </w:rPr>
        <w:t>The results evidence that the low delivery cost of WBDL, more than offsets any real or perceived development costs.  Courses could still be cost effective with small numbers of students, and/or course fees could be significantly lower than fees for traditionally delivered courses.</w:t>
      </w:r>
    </w:p>
    <w:p w:rsidR="007600EB" w:rsidRPr="008C4EBF" w:rsidRDefault="007600EB" w:rsidP="007600EB">
      <w:pPr>
        <w:rPr>
          <w:b/>
          <w:sz w:val="20"/>
          <w:lang w:eastAsia="en-GB"/>
        </w:rPr>
      </w:pPr>
      <w:r w:rsidRPr="00FB1342">
        <w:rPr>
          <w:b/>
          <w:sz w:val="20"/>
          <w:lang w:eastAsia="en-GB"/>
        </w:rPr>
        <w:t>Keywords</w:t>
      </w:r>
      <w:r w:rsidRPr="008C4EBF">
        <w:rPr>
          <w:sz w:val="20"/>
          <w:lang w:eastAsia="en-GB"/>
        </w:rPr>
        <w:t xml:space="preserve">: </w:t>
      </w:r>
      <w:r w:rsidR="008C4EBF" w:rsidRPr="008C4EBF">
        <w:rPr>
          <w:sz w:val="20"/>
          <w:lang w:eastAsia="en-GB"/>
        </w:rPr>
        <w:t>discounted cash flow</w:t>
      </w:r>
      <w:r w:rsidRPr="008C4EBF">
        <w:rPr>
          <w:sz w:val="20"/>
          <w:lang w:eastAsia="en-GB"/>
        </w:rPr>
        <w:t xml:space="preserve">, DCF, </w:t>
      </w:r>
      <w:r w:rsidR="008C4EBF" w:rsidRPr="008C4EBF">
        <w:rPr>
          <w:sz w:val="20"/>
          <w:lang w:eastAsia="en-GB"/>
        </w:rPr>
        <w:t>e-learning, costs, finance, on-line learning, economics</w:t>
      </w:r>
      <w:r w:rsidR="00FB1342">
        <w:rPr>
          <w:sz w:val="20"/>
          <w:lang w:eastAsia="en-GB"/>
        </w:rPr>
        <w:br/>
      </w:r>
    </w:p>
    <w:p w:rsidR="008C4EBF" w:rsidRDefault="008C4EBF" w:rsidP="008C4EBF">
      <w:pPr>
        <w:pStyle w:val="Heading7"/>
      </w:pPr>
      <w:r>
        <w:t>Introduction</w:t>
      </w:r>
    </w:p>
    <w:p w:rsidR="007600EB" w:rsidRPr="00413BC4" w:rsidRDefault="007600EB" w:rsidP="007600EB">
      <w:pPr>
        <w:rPr>
          <w:lang w:eastAsia="en-GB"/>
        </w:rPr>
      </w:pPr>
      <w:r w:rsidRPr="00413BC4">
        <w:rPr>
          <w:lang w:eastAsia="en-GB"/>
        </w:rPr>
        <w:t>Due to increased demand for Higher Education (HE) worldwide, previously accepted methods of funding HE no longer suffice. Piketty observes that “</w:t>
      </w:r>
      <w:r w:rsidRPr="00413BC4">
        <w:rPr>
          <w:i/>
          <w:lang w:eastAsia="en-GB"/>
        </w:rPr>
        <w:t>The question of how to pay for education, and in particular how to pay for higher education, is everywhere one of the key issues of the twenty-first century  Unfortunately, the data available for addressing issues of educational cost and access in the US and in France are extremely limited.</w:t>
      </w:r>
      <w:r w:rsidRPr="00413BC4">
        <w:rPr>
          <w:lang w:eastAsia="en-GB"/>
        </w:rPr>
        <w:t xml:space="preserve">” </w:t>
      </w:r>
      <w:r w:rsidRPr="00413BC4">
        <w:rPr>
          <w:noProof/>
          <w:lang w:val="en-GB" w:eastAsia="en-GB"/>
        </w:rPr>
        <w:t>(Piketty, 2014)</w:t>
      </w:r>
      <w:r w:rsidRPr="00413BC4">
        <w:rPr>
          <w:lang w:eastAsia="en-GB"/>
        </w:rPr>
        <w:t xml:space="preserve">  HE was a high-end luxury good, available to an elite, restricted by academic merit, i.e. a supply-driven market</w:t>
      </w:r>
      <w:r w:rsidR="00FB1342">
        <w:rPr>
          <w:lang w:eastAsia="en-GB"/>
        </w:rPr>
        <w:t xml:space="preserve"> where</w:t>
      </w:r>
      <w:r w:rsidRPr="00413BC4">
        <w:rPr>
          <w:lang w:eastAsia="en-GB"/>
        </w:rPr>
        <w:t xml:space="preserve"> students competed for a limited supply of places.  The cost of providing HE was to some extent subsidised by Government.  In Europe, the cost of courses was met by the public purse.  Public financial support was based on the assumption that an educated populace produces economic and social benefits, “</w:t>
      </w:r>
      <w:r w:rsidRPr="00413BC4">
        <w:rPr>
          <w:i/>
          <w:iCs/>
          <w:lang w:eastAsia="en-GB"/>
        </w:rPr>
        <w:t>A popular government without popular information or the means of acquiring it, is but a Prologue to Farce, or a Tragedy, or perhaps both. Knowledge will forever govern ignorance. And a people who mean to be their own Governors, must arm themselves with the power which knowledge gives."</w:t>
      </w:r>
      <w:r w:rsidRPr="00413BC4">
        <w:rPr>
          <w:i/>
          <w:iCs/>
          <w:noProof/>
          <w:lang w:val="en-GB" w:eastAsia="en-GB"/>
        </w:rPr>
        <w:t xml:space="preserve"> </w:t>
      </w:r>
      <w:r w:rsidRPr="00413BC4">
        <w:rPr>
          <w:noProof/>
          <w:lang w:val="en-GB" w:eastAsia="en-GB"/>
        </w:rPr>
        <w:t>(Madison, 1822)</w:t>
      </w:r>
      <w:r w:rsidRPr="00413BC4">
        <w:rPr>
          <w:lang w:eastAsia="en-GB"/>
        </w:rPr>
        <w:t>.</w:t>
      </w:r>
    </w:p>
    <w:p w:rsidR="007600EB" w:rsidRPr="00413BC4" w:rsidRDefault="007600EB" w:rsidP="007600EB">
      <w:pPr>
        <w:rPr>
          <w:lang w:eastAsia="en-GB"/>
        </w:rPr>
      </w:pPr>
      <w:r w:rsidRPr="00413BC4">
        <w:rPr>
          <w:lang w:eastAsia="en-GB"/>
        </w:rPr>
        <w:t>Successive Governments have increased the provision of HE places; the market moving from a supply-led to a demand-led model.  Universities compete for a limited supply of students.</w:t>
      </w:r>
    </w:p>
    <w:p w:rsidR="007600EB" w:rsidRPr="00413BC4" w:rsidRDefault="007600EB" w:rsidP="007600EB">
      <w:pPr>
        <w:rPr>
          <w:lang w:eastAsia="en-GB"/>
        </w:rPr>
      </w:pPr>
      <w:r w:rsidRPr="00413BC4">
        <w:rPr>
          <w:lang w:eastAsia="en-GB"/>
        </w:rPr>
        <w:t xml:space="preserve">New policies, plus Government debt </w:t>
      </w:r>
      <w:r w:rsidR="00FB1342">
        <w:rPr>
          <w:lang w:eastAsia="en-GB"/>
        </w:rPr>
        <w:t>since</w:t>
      </w:r>
      <w:r w:rsidRPr="00413BC4">
        <w:rPr>
          <w:lang w:eastAsia="en-GB"/>
        </w:rPr>
        <w:t xml:space="preserve"> 2008, </w:t>
      </w:r>
      <w:r w:rsidR="00FB1342">
        <w:rPr>
          <w:lang w:eastAsia="en-GB"/>
        </w:rPr>
        <w:t>have resultd in a</w:t>
      </w:r>
      <w:r w:rsidRPr="00413BC4">
        <w:rPr>
          <w:lang w:eastAsia="en-GB"/>
        </w:rPr>
        <w:t xml:space="preserve"> world-wide</w:t>
      </w:r>
      <w:r w:rsidR="00FB1342">
        <w:rPr>
          <w:lang w:eastAsia="en-GB"/>
        </w:rPr>
        <w:t xml:space="preserve"> trend for</w:t>
      </w:r>
      <w:r w:rsidRPr="00413BC4">
        <w:rPr>
          <w:lang w:eastAsia="en-GB"/>
        </w:rPr>
        <w:t xml:space="preserve"> Government funding </w:t>
      </w:r>
      <w:r w:rsidR="00FB1342">
        <w:rPr>
          <w:lang w:eastAsia="en-GB"/>
        </w:rPr>
        <w:t>to</w:t>
      </w:r>
      <w:r w:rsidRPr="00413BC4">
        <w:rPr>
          <w:lang w:eastAsia="en-GB"/>
        </w:rPr>
        <w:t xml:space="preserve"> been slashed.  </w:t>
      </w:r>
      <w:r w:rsidRPr="00413BC4">
        <w:rPr>
          <w:i/>
          <w:lang w:eastAsia="en-GB"/>
        </w:rPr>
        <w:t xml:space="preserve">“The models of HE that marched triumphantly across the </w:t>
      </w:r>
      <w:r w:rsidRPr="00413BC4">
        <w:rPr>
          <w:i/>
          <w:lang w:eastAsia="en-GB"/>
        </w:rPr>
        <w:lastRenderedPageBreak/>
        <w:t>globe in the second half of the 20</w:t>
      </w:r>
      <w:r w:rsidRPr="00413BC4">
        <w:rPr>
          <w:i/>
          <w:vertAlign w:val="superscript"/>
          <w:lang w:eastAsia="en-GB"/>
        </w:rPr>
        <w:t>th</w:t>
      </w:r>
      <w:r w:rsidRPr="00413BC4">
        <w:rPr>
          <w:i/>
          <w:lang w:eastAsia="en-GB"/>
        </w:rPr>
        <w:t xml:space="preserve"> Century are broken</w:t>
      </w:r>
      <w:r w:rsidRPr="00413BC4">
        <w:rPr>
          <w:lang w:eastAsia="en-GB"/>
        </w:rPr>
        <w:t xml:space="preserve">” </w:t>
      </w:r>
      <w:r w:rsidRPr="00413BC4">
        <w:rPr>
          <w:noProof/>
          <w:lang w:val="en-GB" w:eastAsia="en-GB"/>
        </w:rPr>
        <w:t>(Barber, 2013) as reported on mainstream BBC News  (News, 2013)</w:t>
      </w:r>
    </w:p>
    <w:p w:rsidR="007600EB" w:rsidRPr="00413BC4" w:rsidRDefault="007600EB" w:rsidP="007600EB">
      <w:pPr>
        <w:rPr>
          <w:noProof/>
          <w:lang w:val="en-GB" w:eastAsia="en-GB"/>
        </w:rPr>
      </w:pPr>
      <w:r w:rsidRPr="00413BC4">
        <w:rPr>
          <w:lang w:eastAsia="en-GB"/>
        </w:rPr>
        <w:t>Increasingly, Higher Education Institutions (HEI) look to different methods of provision.  One method is WBDL delivery.  EU Education Ministers, called for “</w:t>
      </w:r>
      <w:r w:rsidRPr="00413BC4">
        <w:rPr>
          <w:bCs/>
          <w:i/>
          <w:lang w:eastAsia="en-GB"/>
        </w:rPr>
        <w:t>curricula development</w:t>
      </w:r>
      <w:r w:rsidR="00EA2EB3">
        <w:rPr>
          <w:i/>
          <w:lang w:eastAsia="en-GB"/>
        </w:rPr>
        <w:t xml:space="preserve"> </w:t>
      </w:r>
      <w:r w:rsidRPr="00413BC4">
        <w:rPr>
          <w:i/>
          <w:lang w:eastAsia="en-GB"/>
        </w:rPr>
        <w:t>and</w:t>
      </w:r>
      <w:r w:rsidR="00EA2EB3">
        <w:rPr>
          <w:i/>
          <w:lang w:eastAsia="en-GB"/>
        </w:rPr>
        <w:t xml:space="preserve"> </w:t>
      </w:r>
      <w:r w:rsidRPr="00413BC4">
        <w:rPr>
          <w:bCs/>
          <w:i/>
          <w:lang w:eastAsia="en-GB"/>
        </w:rPr>
        <w:t>digital learning…and enabling teaching and learning to take place virtually anywhere”</w:t>
      </w:r>
      <w:r w:rsidRPr="00413BC4">
        <w:rPr>
          <w:bCs/>
          <w:i/>
          <w:noProof/>
          <w:lang w:val="en-GB" w:eastAsia="en-GB"/>
        </w:rPr>
        <w:t xml:space="preserve"> </w:t>
      </w:r>
      <w:r w:rsidRPr="00413BC4">
        <w:rPr>
          <w:noProof/>
          <w:lang w:val="en-GB" w:eastAsia="en-GB"/>
        </w:rPr>
        <w:t>(EU Education and Culture Council, 2013).</w:t>
      </w:r>
    </w:p>
    <w:p w:rsidR="007600EB" w:rsidRPr="00413BC4" w:rsidRDefault="007600EB" w:rsidP="007600EB">
      <w:pPr>
        <w:rPr>
          <w:noProof/>
          <w:lang w:val="en-GB" w:eastAsia="en-GB"/>
        </w:rPr>
      </w:pPr>
      <w:r w:rsidRPr="00413BC4">
        <w:rPr>
          <w:noProof/>
          <w:lang w:val="en-GB" w:eastAsia="en-GB"/>
        </w:rPr>
        <w:t xml:space="preserve">Similarly, the United Nations Education, Social and Cultural Organisation (UNESCO) identifies WBDL as an important factor in cost control in HE stating.  </w:t>
      </w:r>
      <w:r w:rsidRPr="00413BC4">
        <w:rPr>
          <w:i/>
          <w:noProof/>
          <w:lang w:val="en-GB" w:eastAsia="en-GB"/>
        </w:rPr>
        <w:t xml:space="preserve">“Economics is (also) driving the revolution.   At the same time as the cost of electronically processing, storing and transmitting information has been falling, the cost of conventional education and training has been rising to levels that are particularly unsustainable in emerging economies.” </w:t>
      </w:r>
      <w:r w:rsidRPr="00413BC4">
        <w:rPr>
          <w:noProof/>
          <w:lang w:val="en-GB" w:eastAsia="en-GB"/>
        </w:rPr>
        <w:t>(Moore, 2002)</w:t>
      </w:r>
    </w:p>
    <w:p w:rsidR="007600EB" w:rsidRPr="00413BC4" w:rsidRDefault="007600EB" w:rsidP="007600EB">
      <w:pPr>
        <w:rPr>
          <w:lang w:eastAsia="en-GB"/>
        </w:rPr>
      </w:pPr>
      <w:r w:rsidRPr="00413BC4">
        <w:rPr>
          <w:noProof/>
          <w:lang w:val="en-GB" w:eastAsia="en-GB"/>
        </w:rPr>
        <w:t xml:space="preserve">Noting that UNESCO, the EU, National Governments, and the leading economist Thomas Piketty are all concernced about the cost of Higher Education; this </w:t>
      </w:r>
      <w:r w:rsidRPr="00413BC4">
        <w:rPr>
          <w:lang w:eastAsia="en-GB"/>
        </w:rPr>
        <w:t xml:space="preserve">paper examines the financial case for </w:t>
      </w:r>
      <w:r w:rsidR="00EA2EB3">
        <w:rPr>
          <w:lang w:eastAsia="en-GB"/>
        </w:rPr>
        <w:t>e</w:t>
      </w:r>
      <w:r w:rsidRPr="00413BC4">
        <w:rPr>
          <w:lang w:eastAsia="en-GB"/>
        </w:rPr>
        <w:t xml:space="preserve">-Learning; specifically WBDL.  The aim of the research is to create of a model to quantify financial cases for WBDL in different circumstances. </w:t>
      </w:r>
    </w:p>
    <w:p w:rsidR="007600EB" w:rsidRPr="00413BC4" w:rsidRDefault="007600EB" w:rsidP="007600EB">
      <w:pPr>
        <w:rPr>
          <w:lang w:eastAsia="en-GB"/>
        </w:rPr>
      </w:pPr>
      <w:r w:rsidRPr="00413BC4">
        <w:rPr>
          <w:noProof/>
          <w:lang w:val="en-GB" w:eastAsia="en-GB"/>
        </w:rPr>
        <w:t xml:space="preserve">The purpose of this paper is to </w:t>
      </w:r>
      <w:r w:rsidR="00EA2EB3" w:rsidRPr="00413BC4">
        <w:rPr>
          <w:noProof/>
          <w:lang w:val="en-GB" w:eastAsia="en-GB"/>
        </w:rPr>
        <w:t>assist</w:t>
      </w:r>
      <w:r w:rsidRPr="00413BC4">
        <w:rPr>
          <w:noProof/>
          <w:lang w:val="en-GB" w:eastAsia="en-GB"/>
        </w:rPr>
        <w:t xml:space="preserve"> course providers and managers in their decision making.</w:t>
      </w:r>
    </w:p>
    <w:p w:rsidR="007600EB" w:rsidRPr="00413BC4" w:rsidRDefault="007600EB" w:rsidP="00EA2EB3">
      <w:pPr>
        <w:pStyle w:val="Heading7"/>
      </w:pPr>
      <w:r w:rsidRPr="00413BC4">
        <w:t>Features of WBDL</w:t>
      </w:r>
    </w:p>
    <w:p w:rsidR="007600EB" w:rsidRPr="00413BC4" w:rsidRDefault="007600EB" w:rsidP="007600EB">
      <w:pPr>
        <w:rPr>
          <w:lang w:eastAsia="en-GB"/>
        </w:rPr>
      </w:pPr>
      <w:r w:rsidRPr="00413BC4">
        <w:rPr>
          <w:lang w:eastAsia="en-GB"/>
        </w:rPr>
        <w:t xml:space="preserve">WBDL widens the market for </w:t>
      </w:r>
      <w:r w:rsidR="008C4EBF">
        <w:rPr>
          <w:lang w:eastAsia="en-GB"/>
        </w:rPr>
        <w:t>higher education</w:t>
      </w:r>
      <w:r w:rsidRPr="00413BC4">
        <w:rPr>
          <w:lang w:eastAsia="en-GB"/>
        </w:rPr>
        <w:t xml:space="preserve"> by giving opportunities to: students who could not afford to take time out of employment for full-time study, overseas students in their home country, members of the Armed Forces, the house-bound, shift workers, etc.</w:t>
      </w:r>
    </w:p>
    <w:p w:rsidR="007600EB" w:rsidRPr="00413BC4" w:rsidRDefault="007600EB" w:rsidP="007600EB">
      <w:pPr>
        <w:rPr>
          <w:lang w:val="en-GB"/>
        </w:rPr>
      </w:pPr>
      <w:r w:rsidRPr="00413BC4">
        <w:rPr>
          <w:lang w:val="en-GB"/>
        </w:rPr>
        <w:t xml:space="preserve">WBDL clearly offers </w:t>
      </w:r>
      <w:r w:rsidR="00EA2EB3">
        <w:rPr>
          <w:lang w:val="en-GB"/>
        </w:rPr>
        <w:t xml:space="preserve">scalability and </w:t>
      </w:r>
      <w:r w:rsidRPr="00413BC4">
        <w:rPr>
          <w:lang w:val="en-GB"/>
        </w:rPr>
        <w:t>delivery cost advantages compared to traditional face</w:t>
      </w:r>
      <w:r w:rsidR="00EA2EB3">
        <w:rPr>
          <w:lang w:val="en-GB"/>
        </w:rPr>
        <w:t>-</w:t>
      </w:r>
      <w:r w:rsidRPr="00413BC4">
        <w:rPr>
          <w:lang w:val="en-GB"/>
        </w:rPr>
        <w:t>to</w:t>
      </w:r>
      <w:r w:rsidR="00EA2EB3">
        <w:rPr>
          <w:lang w:val="en-GB"/>
        </w:rPr>
        <w:t>-</w:t>
      </w:r>
      <w:r w:rsidRPr="00413BC4">
        <w:rPr>
          <w:lang w:val="en-GB"/>
        </w:rPr>
        <w:t>face delivery.  Fixed costs, especially accommodation costs, are eliminated or reduced.  Different teaching and learning approaches can also significantly reduce variable and marginal costs.  The rise of Massive Open Online Courses (MOOCS) evidence how costs of courses online can be ignored.  The business case for MOOCs is, however, unclear and this paper specifically excludes MOOCs.</w:t>
      </w:r>
    </w:p>
    <w:p w:rsidR="007600EB" w:rsidRPr="00413BC4" w:rsidRDefault="007600EB" w:rsidP="008C4EBF">
      <w:pPr>
        <w:pStyle w:val="Heading7"/>
        <w:rPr>
          <w:lang w:val="en-GB"/>
        </w:rPr>
      </w:pPr>
      <w:r w:rsidRPr="00413BC4">
        <w:rPr>
          <w:lang w:val="en-GB"/>
        </w:rPr>
        <w:t xml:space="preserve">Literature </w:t>
      </w:r>
      <w:r w:rsidR="00DF4E44">
        <w:rPr>
          <w:lang w:val="en-GB"/>
        </w:rPr>
        <w:t>r</w:t>
      </w:r>
      <w:r w:rsidRPr="00413BC4">
        <w:rPr>
          <w:lang w:val="en-GB"/>
        </w:rPr>
        <w:t>eview</w:t>
      </w:r>
    </w:p>
    <w:p w:rsidR="007600EB" w:rsidRPr="00413BC4" w:rsidRDefault="007600EB" w:rsidP="007600EB">
      <w:pPr>
        <w:rPr>
          <w:lang w:val="en-GB"/>
        </w:rPr>
      </w:pPr>
      <w:r w:rsidRPr="00413BC4">
        <w:rPr>
          <w:lang w:val="en-GB"/>
        </w:rPr>
        <w:t xml:space="preserve">The dynamic nature of WBDL and the associated Technology means that the cost implications are continually changing.  As data becomes published, it becomes out of date.  The leading authority on </w:t>
      </w:r>
      <w:r w:rsidR="00C3154D">
        <w:rPr>
          <w:lang w:val="en-GB"/>
        </w:rPr>
        <w:t>c</w:t>
      </w:r>
      <w:r w:rsidRPr="00413BC4">
        <w:rPr>
          <w:lang w:val="en-GB"/>
        </w:rPr>
        <w:t xml:space="preserve">osting </w:t>
      </w:r>
      <w:r w:rsidR="00C3154D">
        <w:rPr>
          <w:lang w:val="en-GB"/>
        </w:rPr>
        <w:t>e</w:t>
      </w:r>
      <w:r w:rsidRPr="00413BC4">
        <w:rPr>
          <w:lang w:val="en-GB"/>
        </w:rPr>
        <w:t>-</w:t>
      </w:r>
      <w:r w:rsidR="00C3154D">
        <w:rPr>
          <w:lang w:val="en-GB"/>
        </w:rPr>
        <w:t>l</w:t>
      </w:r>
      <w:r w:rsidRPr="00413BC4">
        <w:rPr>
          <w:lang w:val="en-GB"/>
        </w:rPr>
        <w:t>earning is Dr Greville Rumble “The Costs and Economics of Distance Learning”</w:t>
      </w:r>
      <w:r w:rsidRPr="00413BC4">
        <w:rPr>
          <w:noProof/>
          <w:lang w:val="en-GB"/>
        </w:rPr>
        <w:t xml:space="preserve"> (Rumble, 1997)</w:t>
      </w:r>
      <w:r w:rsidRPr="00413BC4">
        <w:rPr>
          <w:lang w:val="en-GB"/>
        </w:rPr>
        <w:t xml:space="preserve"> first published in 1997.</w:t>
      </w:r>
    </w:p>
    <w:p w:rsidR="007600EB" w:rsidRPr="00413BC4" w:rsidRDefault="007600EB" w:rsidP="007600EB">
      <w:pPr>
        <w:rPr>
          <w:lang w:val="en-GB"/>
        </w:rPr>
      </w:pPr>
      <w:r w:rsidRPr="00413BC4">
        <w:rPr>
          <w:noProof/>
          <w:lang w:val="en-GB"/>
        </w:rPr>
        <w:t xml:space="preserve">Hane N, and Lundberg S </w:t>
      </w:r>
      <w:r w:rsidR="008C4EBF">
        <w:rPr>
          <w:noProof/>
          <w:lang w:val="en-GB"/>
        </w:rPr>
        <w:t>(</w:t>
      </w:r>
      <w:r w:rsidRPr="00413BC4">
        <w:rPr>
          <w:noProof/>
          <w:lang w:val="en-GB"/>
        </w:rPr>
        <w:t>2008)</w:t>
      </w:r>
      <w:r w:rsidRPr="00413BC4">
        <w:rPr>
          <w:lang w:val="en-GB"/>
        </w:rPr>
        <w:t xml:space="preserve"> considered a cost-benefit analysis of e-learning as a tool for regional policy.  </w:t>
      </w:r>
      <w:r w:rsidR="00C3154D">
        <w:rPr>
          <w:lang w:val="en-GB"/>
        </w:rPr>
        <w:t>H</w:t>
      </w:r>
      <w:r w:rsidRPr="00413BC4">
        <w:rPr>
          <w:lang w:val="en-GB"/>
        </w:rPr>
        <w:t xml:space="preserve">owever, the discussion </w:t>
      </w:r>
      <w:r w:rsidR="00C3154D">
        <w:rPr>
          <w:lang w:val="en-GB"/>
        </w:rPr>
        <w:t>emphasised</w:t>
      </w:r>
      <w:r w:rsidRPr="00413BC4">
        <w:rPr>
          <w:lang w:val="en-GB"/>
        </w:rPr>
        <w:t xml:space="preserve"> a high-level consideration and not specific details of costs.</w:t>
      </w:r>
    </w:p>
    <w:p w:rsidR="007600EB" w:rsidRPr="00413BC4" w:rsidRDefault="007600EB" w:rsidP="007600EB">
      <w:pPr>
        <w:rPr>
          <w:lang w:val="en-GB"/>
        </w:rPr>
      </w:pPr>
      <w:r w:rsidRPr="00413BC4">
        <w:rPr>
          <w:noProof/>
          <w:lang w:val="en-GB"/>
        </w:rPr>
        <w:t xml:space="preserve">(Sharma </w:t>
      </w:r>
      <w:r w:rsidR="008C4EBF">
        <w:rPr>
          <w:noProof/>
          <w:lang w:val="en-GB"/>
        </w:rPr>
        <w:t>(</w:t>
      </w:r>
      <w:r w:rsidRPr="00413BC4">
        <w:rPr>
          <w:noProof/>
          <w:lang w:val="en-GB"/>
        </w:rPr>
        <w:t>2011)</w:t>
      </w:r>
      <w:r w:rsidRPr="00413BC4">
        <w:rPr>
          <w:lang w:val="en-GB"/>
        </w:rPr>
        <w:t xml:space="preserve"> considers the financial costs of </w:t>
      </w:r>
      <w:r w:rsidR="00C3154D">
        <w:rPr>
          <w:lang w:val="en-GB"/>
        </w:rPr>
        <w:t>e</w:t>
      </w:r>
      <w:r w:rsidRPr="00413BC4">
        <w:rPr>
          <w:lang w:val="en-GB"/>
        </w:rPr>
        <w:t>-</w:t>
      </w:r>
      <w:r w:rsidR="00C3154D">
        <w:rPr>
          <w:lang w:val="en-GB"/>
        </w:rPr>
        <w:t>l</w:t>
      </w:r>
      <w:r w:rsidRPr="00413BC4">
        <w:rPr>
          <w:lang w:val="en-GB"/>
        </w:rPr>
        <w:t xml:space="preserve">earning and calculating </w:t>
      </w:r>
      <w:r w:rsidR="00C3154D">
        <w:rPr>
          <w:lang w:val="en-GB"/>
        </w:rPr>
        <w:t>return on investment (</w:t>
      </w:r>
      <w:r w:rsidRPr="00413BC4">
        <w:rPr>
          <w:lang w:val="en-GB"/>
        </w:rPr>
        <w:t>ROI</w:t>
      </w:r>
      <w:r w:rsidR="00C3154D">
        <w:rPr>
          <w:lang w:val="en-GB"/>
        </w:rPr>
        <w:t>)</w:t>
      </w:r>
      <w:r w:rsidRPr="00413BC4">
        <w:rPr>
          <w:lang w:val="en-GB"/>
        </w:rPr>
        <w:t xml:space="preserve">.  </w:t>
      </w:r>
      <w:r w:rsidR="00C3154D">
        <w:rPr>
          <w:lang w:val="en-GB"/>
        </w:rPr>
        <w:t>This is u</w:t>
      </w:r>
      <w:r w:rsidRPr="00413BC4">
        <w:rPr>
          <w:lang w:val="en-GB"/>
        </w:rPr>
        <w:t>seful for providing a framework for a model</w:t>
      </w:r>
      <w:r w:rsidR="00C3154D">
        <w:rPr>
          <w:lang w:val="en-GB"/>
        </w:rPr>
        <w:t xml:space="preserve"> but</w:t>
      </w:r>
      <w:r w:rsidRPr="00413BC4">
        <w:rPr>
          <w:lang w:val="en-GB"/>
        </w:rPr>
        <w:t xml:space="preserve"> does not provide actual costs.  </w:t>
      </w:r>
    </w:p>
    <w:p w:rsidR="007600EB" w:rsidRPr="00413BC4" w:rsidRDefault="007600EB" w:rsidP="007600EB">
      <w:pPr>
        <w:rPr>
          <w:lang w:val="en-GB"/>
        </w:rPr>
      </w:pPr>
      <w:r w:rsidRPr="00413BC4">
        <w:rPr>
          <w:noProof/>
          <w:lang w:val="en-GB"/>
        </w:rPr>
        <w:t xml:space="preserve">Jovanovic, Ilic </w:t>
      </w:r>
      <w:r w:rsidR="00DF4E44">
        <w:rPr>
          <w:noProof/>
          <w:lang w:val="en-GB"/>
        </w:rPr>
        <w:t>(</w:t>
      </w:r>
      <w:r w:rsidRPr="00413BC4">
        <w:rPr>
          <w:noProof/>
          <w:lang w:val="en-GB"/>
        </w:rPr>
        <w:t>2012)</w:t>
      </w:r>
      <w:r w:rsidRPr="00413BC4">
        <w:rPr>
          <w:lang w:val="en-GB"/>
        </w:rPr>
        <w:t xml:space="preserve"> consider </w:t>
      </w:r>
      <w:r w:rsidR="00C3154D">
        <w:rPr>
          <w:lang w:val="en-GB"/>
        </w:rPr>
        <w:t>e-l</w:t>
      </w:r>
      <w:r w:rsidRPr="00413BC4">
        <w:rPr>
          <w:lang w:val="en-GB"/>
        </w:rPr>
        <w:t>earning as a strategy for reducing University costs and conclude</w:t>
      </w:r>
      <w:r w:rsidR="00C3154D">
        <w:rPr>
          <w:lang w:val="en-GB"/>
        </w:rPr>
        <w:t>s</w:t>
      </w:r>
      <w:r w:rsidRPr="00413BC4">
        <w:rPr>
          <w:lang w:val="en-GB"/>
        </w:rPr>
        <w:t xml:space="preserve"> that implementing </w:t>
      </w:r>
      <w:r w:rsidR="00C3154D">
        <w:rPr>
          <w:lang w:val="en-GB"/>
        </w:rPr>
        <w:t>e</w:t>
      </w:r>
      <w:r w:rsidRPr="00413BC4">
        <w:rPr>
          <w:lang w:val="en-GB"/>
        </w:rPr>
        <w:t>-</w:t>
      </w:r>
      <w:r w:rsidR="00C3154D">
        <w:rPr>
          <w:lang w:val="en-GB"/>
        </w:rPr>
        <w:t>l</w:t>
      </w:r>
      <w:r w:rsidRPr="00413BC4">
        <w:rPr>
          <w:lang w:val="en-GB"/>
        </w:rPr>
        <w:t>earning can reduce costs and affect ROI.  The cost data, however, is concerned with aggregates</w:t>
      </w:r>
      <w:r w:rsidR="00C3154D">
        <w:rPr>
          <w:lang w:val="en-GB"/>
        </w:rPr>
        <w:t>,</w:t>
      </w:r>
      <w:r w:rsidRPr="00413BC4">
        <w:rPr>
          <w:lang w:val="en-GB"/>
        </w:rPr>
        <w:t xml:space="preserve"> not a low-level granularity of costs.</w:t>
      </w:r>
    </w:p>
    <w:p w:rsidR="007600EB" w:rsidRPr="00413BC4" w:rsidRDefault="007600EB" w:rsidP="007600EB">
      <w:pPr>
        <w:rPr>
          <w:lang w:val="en-GB"/>
        </w:rPr>
      </w:pPr>
      <w:r w:rsidRPr="00413BC4">
        <w:rPr>
          <w:lang w:val="en-GB"/>
        </w:rPr>
        <w:t>The Commonwealth of Learning</w:t>
      </w:r>
      <w:r w:rsidRPr="00413BC4">
        <w:rPr>
          <w:noProof/>
          <w:lang w:val="en-GB"/>
        </w:rPr>
        <w:t xml:space="preserve"> (Butcher &amp; Hoosen, 2012)</w:t>
      </w:r>
      <w:r w:rsidRPr="00413BC4">
        <w:rPr>
          <w:lang w:val="en-GB"/>
        </w:rPr>
        <w:t xml:space="preserve"> considered the business case for Open Education Resources (OER).  This provided some useful data on costs of developing online material.  This will be referred to in more detail, below.</w:t>
      </w:r>
    </w:p>
    <w:p w:rsidR="007600EB" w:rsidRPr="00413BC4" w:rsidRDefault="007600EB" w:rsidP="007600EB">
      <w:pPr>
        <w:rPr>
          <w:lang w:val="en-GB"/>
        </w:rPr>
      </w:pPr>
      <w:r w:rsidRPr="00413BC4">
        <w:rPr>
          <w:noProof/>
          <w:lang w:val="en-GB"/>
        </w:rPr>
        <w:t>Boetcher</w:t>
      </w:r>
      <w:r w:rsidR="00DF4E44">
        <w:rPr>
          <w:noProof/>
          <w:lang w:val="en-GB"/>
        </w:rPr>
        <w:t xml:space="preserve"> (</w:t>
      </w:r>
      <w:r w:rsidRPr="00413BC4">
        <w:rPr>
          <w:noProof/>
          <w:lang w:val="en-GB"/>
        </w:rPr>
        <w:t>2013)</w:t>
      </w:r>
      <w:r w:rsidRPr="00413BC4">
        <w:rPr>
          <w:lang w:val="en-GB"/>
        </w:rPr>
        <w:t xml:space="preserve"> considers costing the preparation of material, though he is vague about the methodology applied.  Again, this will be referred to later.</w:t>
      </w:r>
    </w:p>
    <w:p w:rsidR="007600EB" w:rsidRPr="00413BC4" w:rsidRDefault="007600EB" w:rsidP="007600EB">
      <w:pPr>
        <w:rPr>
          <w:lang w:val="en-GB"/>
        </w:rPr>
      </w:pPr>
      <w:r w:rsidRPr="00413BC4">
        <w:rPr>
          <w:lang w:val="en-GB"/>
        </w:rPr>
        <w:lastRenderedPageBreak/>
        <w:t xml:space="preserve">The Joint Costing and Pricing Steering Group </w:t>
      </w:r>
      <w:r w:rsidRPr="00413BC4">
        <w:rPr>
          <w:noProof/>
          <w:lang w:val="en-GB"/>
        </w:rPr>
        <w:t>(HEFCE, 2010)</w:t>
      </w:r>
      <w:r w:rsidRPr="00413BC4">
        <w:rPr>
          <w:lang w:val="en-GB"/>
        </w:rPr>
        <w:t xml:space="preserve"> examined pricing strategies in Higher Education Institutions (HEI).  This, however, was concerned with high-level strategic aims and gave no real data on costs. </w:t>
      </w:r>
    </w:p>
    <w:p w:rsidR="007600EB" w:rsidRPr="00413BC4" w:rsidRDefault="007600EB" w:rsidP="007600EB">
      <w:pPr>
        <w:rPr>
          <w:lang w:val="en-GB"/>
        </w:rPr>
      </w:pPr>
      <w:r w:rsidRPr="00413BC4">
        <w:rPr>
          <w:lang w:val="en-GB"/>
        </w:rPr>
        <w:t xml:space="preserve">Diane Laurillard made major contributions to the issue of cost analysis in </w:t>
      </w:r>
      <w:r w:rsidR="00C3154D">
        <w:rPr>
          <w:lang w:val="en-GB"/>
        </w:rPr>
        <w:t>e</w:t>
      </w:r>
      <w:r w:rsidRPr="00413BC4">
        <w:rPr>
          <w:lang w:val="en-GB"/>
        </w:rPr>
        <w:t>-</w:t>
      </w:r>
      <w:r w:rsidR="00C3154D">
        <w:rPr>
          <w:lang w:val="en-GB"/>
        </w:rPr>
        <w:t>l</w:t>
      </w:r>
      <w:r w:rsidRPr="00413BC4">
        <w:rPr>
          <w:lang w:val="en-GB"/>
        </w:rPr>
        <w:t xml:space="preserve">earning </w:t>
      </w:r>
      <w:r w:rsidR="00C3154D">
        <w:rPr>
          <w:lang w:val="en-GB"/>
        </w:rPr>
        <w:t xml:space="preserve">in </w:t>
      </w:r>
      <w:r w:rsidRPr="00413BC4">
        <w:rPr>
          <w:lang w:val="en-GB"/>
        </w:rPr>
        <w:t>general</w:t>
      </w:r>
      <w:r w:rsidR="00C3154D">
        <w:rPr>
          <w:lang w:val="en-GB"/>
        </w:rPr>
        <w:t xml:space="preserve"> but is</w:t>
      </w:r>
      <w:r w:rsidRPr="00413BC4">
        <w:rPr>
          <w:lang w:val="en-GB"/>
        </w:rPr>
        <w:t xml:space="preserve"> not specific or restricted to WBDL.  Her observation was that “</w:t>
      </w:r>
      <w:r w:rsidRPr="00413BC4">
        <w:rPr>
          <w:i/>
        </w:rPr>
        <w:t>The costing models in the literature have had almost no impact on practice in educational institutions planning e-learning innovation. … A more user-friendly model would represent costs in terms of learner, teacher and support staff time for a meaningful period of study time – e.g. a course module, a school week, etc.”</w:t>
      </w:r>
      <w:r w:rsidRPr="00413BC4">
        <w:rPr>
          <w:i/>
          <w:noProof/>
          <w:lang w:val="en-GB"/>
        </w:rPr>
        <w:t xml:space="preserve"> </w:t>
      </w:r>
      <w:r w:rsidRPr="00413BC4">
        <w:rPr>
          <w:noProof/>
          <w:lang w:val="en-GB"/>
        </w:rPr>
        <w:t>(Laurillard, 2007)</w:t>
      </w:r>
      <w:r w:rsidRPr="00413BC4">
        <w:rPr>
          <w:lang w:val="en-GB"/>
        </w:rPr>
        <w:t>.  Laurillard proposed a costing methodology and cited costs referred to later.</w:t>
      </w:r>
    </w:p>
    <w:p w:rsidR="007600EB" w:rsidRPr="00413BC4" w:rsidRDefault="007600EB" w:rsidP="007600EB">
      <w:pPr>
        <w:rPr>
          <w:lang w:val="en-GB"/>
        </w:rPr>
      </w:pPr>
      <w:r w:rsidRPr="00413BC4">
        <w:rPr>
          <w:lang w:val="en-GB"/>
        </w:rPr>
        <w:t>From the literature it is apparent that, whilst cost implications are considered at a high level, there is little actual cost data drawn from case studies.</w:t>
      </w:r>
    </w:p>
    <w:p w:rsidR="007600EB" w:rsidRPr="00413BC4" w:rsidRDefault="007600EB" w:rsidP="007600EB">
      <w:pPr>
        <w:rPr>
          <w:lang w:val="en-GB"/>
        </w:rPr>
      </w:pPr>
      <w:r w:rsidRPr="00413BC4">
        <w:rPr>
          <w:lang w:val="en-GB"/>
        </w:rPr>
        <w:t>This paper addresses this gap and seeks to answer the research question; “How can costs and revenue streams be modelled to provide useful information on the financial implications of developing and delivering web-based distance learning courses?”</w:t>
      </w:r>
    </w:p>
    <w:p w:rsidR="007600EB" w:rsidRPr="00413BC4" w:rsidRDefault="007600EB" w:rsidP="007600EB">
      <w:pPr>
        <w:rPr>
          <w:lang w:val="en-GB"/>
        </w:rPr>
      </w:pPr>
      <w:r w:rsidRPr="00413BC4">
        <w:rPr>
          <w:lang w:val="en-GB"/>
        </w:rPr>
        <w:t>The aims of this study are to enable course providers to: allocate resources, and, by using sensitivity analysis, model different scenarios to calculate, inter alia, break-even points, and differential pricing.</w:t>
      </w:r>
    </w:p>
    <w:p w:rsidR="007600EB" w:rsidRPr="00413BC4" w:rsidRDefault="007600EB" w:rsidP="00DF4E44">
      <w:pPr>
        <w:pStyle w:val="Heading7"/>
        <w:rPr>
          <w:lang w:val="en-GB"/>
        </w:rPr>
      </w:pPr>
      <w:r w:rsidRPr="00413BC4">
        <w:rPr>
          <w:lang w:val="en-GB"/>
        </w:rPr>
        <w:t>Methodology</w:t>
      </w:r>
    </w:p>
    <w:p w:rsidR="007600EB" w:rsidRPr="00413BC4" w:rsidRDefault="007600EB" w:rsidP="007600EB">
      <w:pPr>
        <w:rPr>
          <w:lang w:val="en-GB"/>
        </w:rPr>
      </w:pPr>
      <w:r w:rsidRPr="00413BC4">
        <w:rPr>
          <w:lang w:val="en-GB"/>
        </w:rPr>
        <w:t>This study is quantitative using published data.  The paper does not draw any qualitative conclusions, the relative merits of WBDL courses and face</w:t>
      </w:r>
      <w:r w:rsidR="00C3154D">
        <w:rPr>
          <w:lang w:val="en-GB"/>
        </w:rPr>
        <w:t>-</w:t>
      </w:r>
      <w:r w:rsidRPr="00413BC4">
        <w:rPr>
          <w:lang w:val="en-GB"/>
        </w:rPr>
        <w:t>to</w:t>
      </w:r>
      <w:r w:rsidR="00C3154D">
        <w:rPr>
          <w:lang w:val="en-GB"/>
        </w:rPr>
        <w:t>-</w:t>
      </w:r>
      <w:r w:rsidRPr="00413BC4">
        <w:rPr>
          <w:lang w:val="en-GB"/>
        </w:rPr>
        <w:t xml:space="preserve">face courses are </w:t>
      </w:r>
      <w:r w:rsidR="00C3154D">
        <w:rPr>
          <w:lang w:val="en-GB"/>
        </w:rPr>
        <w:t>beyond</w:t>
      </w:r>
      <w:r w:rsidRPr="00413BC4">
        <w:rPr>
          <w:lang w:val="en-GB"/>
        </w:rPr>
        <w:t xml:space="preserve"> the scope of th</w:t>
      </w:r>
      <w:r w:rsidR="00C3154D">
        <w:rPr>
          <w:lang w:val="en-GB"/>
        </w:rPr>
        <w:t>is</w:t>
      </w:r>
      <w:r w:rsidRPr="00413BC4">
        <w:rPr>
          <w:lang w:val="en-GB"/>
        </w:rPr>
        <w:t xml:space="preserve"> paper.</w:t>
      </w:r>
    </w:p>
    <w:p w:rsidR="007600EB" w:rsidRPr="00413BC4" w:rsidRDefault="007600EB" w:rsidP="007600EB">
      <w:pPr>
        <w:rPr>
          <w:lang w:val="en-GB"/>
        </w:rPr>
      </w:pPr>
      <w:r w:rsidRPr="00413BC4">
        <w:rPr>
          <w:lang w:val="en-GB"/>
        </w:rPr>
        <w:t xml:space="preserve">The data is plotted into a spreadsheet model representing a WBDL course.  The course structure used in the model is based on an actual WBDL with which the author is familiar, though different, hypothetical cost data sets are imputed into order to analyse income streams.  </w:t>
      </w:r>
    </w:p>
    <w:p w:rsidR="007600EB" w:rsidRPr="00413BC4" w:rsidRDefault="007600EB" w:rsidP="007600EB">
      <w:pPr>
        <w:rPr>
          <w:lang w:val="en-GB"/>
        </w:rPr>
      </w:pPr>
      <w:r w:rsidRPr="00413BC4">
        <w:rPr>
          <w:lang w:val="en-GB"/>
        </w:rPr>
        <w:t>Modelling hypothetical and actual data on the structure of an actual course is appropriate, being analogous to a case study, albeit with stochastic interpretations, hence constituting</w:t>
      </w:r>
      <w:r w:rsidRPr="00413BC4">
        <w:rPr>
          <w:i/>
          <w:lang w:val="en-GB"/>
        </w:rPr>
        <w:t xml:space="preserve"> “...an empirical inquiry that investigates a contemporary phenomenon within its real-life context…”</w:t>
      </w:r>
      <w:r w:rsidRPr="00413BC4">
        <w:rPr>
          <w:lang w:val="en-GB"/>
        </w:rPr>
        <w:t xml:space="preserve"> </w:t>
      </w:r>
      <w:r w:rsidRPr="00413BC4">
        <w:rPr>
          <w:noProof/>
          <w:lang w:val="en-GB"/>
        </w:rPr>
        <w:t xml:space="preserve"> (Yin, 1994)</w:t>
      </w:r>
      <w:r w:rsidRPr="00413BC4">
        <w:rPr>
          <w:lang w:val="en-GB"/>
        </w:rPr>
        <w:t xml:space="preserve">.  The context is drawn from real-life as Yin recommends.  The data sets used are drawn from published sources. </w:t>
      </w:r>
    </w:p>
    <w:p w:rsidR="007600EB" w:rsidRPr="00413BC4" w:rsidRDefault="007600EB" w:rsidP="007600EB">
      <w:pPr>
        <w:rPr>
          <w:lang w:val="en-GB"/>
        </w:rPr>
      </w:pPr>
      <w:r w:rsidRPr="00413BC4">
        <w:rPr>
          <w:lang w:val="en-GB"/>
        </w:rPr>
        <w:t>Modelling data into the structure of an actual course counters the criticism of case study research, that results from one case study may not be representative.  Using an actual scenario with varying data gives a robustness and validity to the model, independent of the data.</w:t>
      </w:r>
    </w:p>
    <w:p w:rsidR="007600EB" w:rsidRPr="00413BC4" w:rsidRDefault="007600EB" w:rsidP="007600EB">
      <w:pPr>
        <w:rPr>
          <w:lang w:val="en-GB"/>
        </w:rPr>
      </w:pPr>
      <w:r w:rsidRPr="00413BC4">
        <w:rPr>
          <w:lang w:val="en-GB"/>
        </w:rPr>
        <w:t>The financial analysis uses a standard financial model, a Discounted Cash Flow (DCF) approach.</w:t>
      </w:r>
    </w:p>
    <w:p w:rsidR="007600EB" w:rsidRPr="00413BC4" w:rsidRDefault="007600EB" w:rsidP="00DF4E44">
      <w:pPr>
        <w:pStyle w:val="Heading7"/>
        <w:rPr>
          <w:lang w:val="en-GB"/>
        </w:rPr>
      </w:pPr>
      <w:r w:rsidRPr="00413BC4">
        <w:rPr>
          <w:lang w:val="en-GB"/>
        </w:rPr>
        <w:t xml:space="preserve">Limitations of the </w:t>
      </w:r>
      <w:r w:rsidR="00DF4E44">
        <w:rPr>
          <w:lang w:val="en-GB"/>
        </w:rPr>
        <w:t>s</w:t>
      </w:r>
      <w:r w:rsidRPr="00413BC4">
        <w:rPr>
          <w:lang w:val="en-GB"/>
        </w:rPr>
        <w:t>tudy</w:t>
      </w:r>
    </w:p>
    <w:p w:rsidR="007600EB" w:rsidRPr="00413BC4" w:rsidRDefault="007600EB" w:rsidP="007600EB">
      <w:pPr>
        <w:rPr>
          <w:lang w:val="en-GB" w:eastAsia="en-GB"/>
        </w:rPr>
      </w:pPr>
      <w:r w:rsidRPr="00413BC4">
        <w:rPr>
          <w:lang w:val="en-GB" w:eastAsia="en-GB"/>
        </w:rPr>
        <w:t xml:space="preserve">This study examines the development and delivery costs using the course, or the module as units of account.  In UK convention, a course is the full programme of study leading to an academic award.  A module is a discrete component of that award.  Students earn credits for completed modules; a specified number of modules, or credits, comprise a course. </w:t>
      </w:r>
    </w:p>
    <w:p w:rsidR="007600EB" w:rsidRPr="00413BC4" w:rsidRDefault="007600EB" w:rsidP="007600EB">
      <w:pPr>
        <w:rPr>
          <w:lang w:val="en-GB" w:eastAsia="en-GB"/>
        </w:rPr>
      </w:pPr>
      <w:r w:rsidRPr="00413BC4">
        <w:rPr>
          <w:lang w:val="en-GB" w:eastAsia="en-GB"/>
        </w:rPr>
        <w:t xml:space="preserve">Institutional costs are accounted for in the item “Contribution to Central Overheads” (see below).  Institutional costs include, but are not limited to; hardware, Virtual Learning Environment, on-line library, central administration, Examination Boards, etc.  The identification of these central costs is beyond the scope of this paper, solely examining course and module costs.  </w:t>
      </w:r>
    </w:p>
    <w:p w:rsidR="007600EB" w:rsidRPr="00413BC4" w:rsidRDefault="007600EB" w:rsidP="00DF4E44">
      <w:pPr>
        <w:pStyle w:val="Heading4"/>
        <w:rPr>
          <w:lang w:val="en-GB"/>
        </w:rPr>
      </w:pPr>
      <w:r w:rsidRPr="00413BC4">
        <w:rPr>
          <w:lang w:val="en-GB"/>
        </w:rPr>
        <w:lastRenderedPageBreak/>
        <w:t>Discounted Cash Flow (DCF)</w:t>
      </w:r>
    </w:p>
    <w:p w:rsidR="00DF4E44" w:rsidRDefault="007600EB" w:rsidP="007600EB">
      <w:pPr>
        <w:rPr>
          <w:lang w:val="en-GB"/>
        </w:rPr>
      </w:pPr>
      <w:r w:rsidRPr="00413BC4">
        <w:rPr>
          <w:lang w:val="en-GB"/>
        </w:rPr>
        <w:t>DCF is based on the concepts of Time Value of Money.  A sum of money invested today at a given rate of interest (i) will accrue to an amount over a given number of years (n).  This is calculated using the formula (1+i)</w:t>
      </w:r>
      <w:r w:rsidRPr="00413BC4">
        <w:rPr>
          <w:vertAlign w:val="superscript"/>
          <w:lang w:val="en-GB"/>
        </w:rPr>
        <w:t>n</w:t>
      </w:r>
      <w:r w:rsidRPr="00413BC4">
        <w:rPr>
          <w:lang w:val="en-GB"/>
        </w:rPr>
        <w:t xml:space="preserve">.  </w:t>
      </w:r>
    </w:p>
    <w:p w:rsidR="007600EB" w:rsidRPr="00413BC4" w:rsidRDefault="007600EB" w:rsidP="00DF4E44">
      <w:pPr>
        <w:rPr>
          <w:lang w:val="en-GB"/>
        </w:rPr>
      </w:pPr>
      <w:r w:rsidRPr="00413BC4">
        <w:rPr>
          <w:lang w:val="en-GB"/>
        </w:rPr>
        <w:t xml:space="preserve">Thus; £100 invested for 3 years @ 4% </w:t>
      </w:r>
      <w:r w:rsidR="00DF4E44">
        <w:rPr>
          <w:lang w:val="en-GB"/>
        </w:rPr>
        <w:t xml:space="preserve">   </w:t>
      </w:r>
      <w:r w:rsidRPr="00413BC4">
        <w:rPr>
          <w:lang w:val="en-GB"/>
        </w:rPr>
        <w:t>=</w:t>
      </w:r>
      <w:r w:rsidR="00DF4E44">
        <w:rPr>
          <w:lang w:val="en-GB"/>
        </w:rPr>
        <w:t xml:space="preserve"> </w:t>
      </w:r>
      <w:r w:rsidRPr="00413BC4">
        <w:rPr>
          <w:lang w:val="en-GB"/>
        </w:rPr>
        <w:t>100 X (1+.04)</w:t>
      </w:r>
      <w:r w:rsidRPr="00413BC4">
        <w:rPr>
          <w:vertAlign w:val="superscript"/>
          <w:lang w:val="en-GB"/>
        </w:rPr>
        <w:t>3</w:t>
      </w:r>
      <w:r w:rsidRPr="00413BC4">
        <w:rPr>
          <w:lang w:val="en-GB"/>
        </w:rPr>
        <w:t xml:space="preserve"> </w:t>
      </w:r>
    </w:p>
    <w:p w:rsidR="007600EB" w:rsidRPr="00413BC4" w:rsidRDefault="007600EB" w:rsidP="00DF4E44">
      <w:pPr>
        <w:ind w:left="3600"/>
        <w:rPr>
          <w:vertAlign w:val="superscript"/>
          <w:lang w:val="en-GB"/>
        </w:rPr>
      </w:pPr>
      <w:r w:rsidRPr="00413BC4">
        <w:rPr>
          <w:lang w:val="en-GB"/>
        </w:rPr>
        <w:t>= 100 X (1.04)</w:t>
      </w:r>
      <w:r w:rsidRPr="00413BC4">
        <w:rPr>
          <w:vertAlign w:val="superscript"/>
          <w:lang w:val="en-GB"/>
        </w:rPr>
        <w:t xml:space="preserve">3 </w:t>
      </w:r>
    </w:p>
    <w:p w:rsidR="007600EB" w:rsidRPr="00413BC4" w:rsidRDefault="007600EB" w:rsidP="00DF4E44">
      <w:pPr>
        <w:ind w:left="3600"/>
        <w:rPr>
          <w:lang w:val="en-GB"/>
        </w:rPr>
      </w:pPr>
      <w:r w:rsidRPr="00413BC4">
        <w:rPr>
          <w:lang w:val="en-GB"/>
        </w:rPr>
        <w:t xml:space="preserve">= 100 X 1.124864 </w:t>
      </w:r>
    </w:p>
    <w:p w:rsidR="007600EB" w:rsidRPr="00413BC4" w:rsidRDefault="007600EB" w:rsidP="00DF4E44">
      <w:pPr>
        <w:ind w:left="3600"/>
        <w:rPr>
          <w:lang w:val="en-GB"/>
        </w:rPr>
      </w:pPr>
      <w:r w:rsidRPr="00413BC4">
        <w:rPr>
          <w:lang w:val="en-GB"/>
        </w:rPr>
        <w:t>= £112.48</w:t>
      </w:r>
    </w:p>
    <w:p w:rsidR="007600EB" w:rsidRPr="00413BC4" w:rsidRDefault="007600EB" w:rsidP="007600EB">
      <w:pPr>
        <w:rPr>
          <w:lang w:val="en-GB"/>
        </w:rPr>
      </w:pPr>
      <w:r w:rsidRPr="00413BC4">
        <w:rPr>
          <w:lang w:val="en-GB"/>
        </w:rPr>
        <w:t>£100 today is worth £112.48 in 3 years’ time @ 4% interest.  Thus, £112.48 to be received in 3 years’ time is only worth £100 today (Present Value).</w:t>
      </w:r>
    </w:p>
    <w:p w:rsidR="007600EB" w:rsidRPr="00413BC4" w:rsidRDefault="007600EB" w:rsidP="007600EB">
      <w:pPr>
        <w:rPr>
          <w:lang w:val="en-GB"/>
        </w:rPr>
      </w:pPr>
      <w:r w:rsidRPr="00413BC4">
        <w:rPr>
          <w:lang w:val="en-GB"/>
        </w:rPr>
        <w:t>Future income streams are discounted back to their Present Value (PV), using appropriate discount rates.</w:t>
      </w:r>
    </w:p>
    <w:p w:rsidR="007600EB" w:rsidRPr="00413BC4" w:rsidRDefault="007600EB" w:rsidP="00DF4E44">
      <w:pPr>
        <w:pStyle w:val="Heading4"/>
        <w:rPr>
          <w:lang w:val="en-GB"/>
        </w:rPr>
      </w:pPr>
      <w:r w:rsidRPr="00413BC4">
        <w:rPr>
          <w:lang w:val="en-GB"/>
        </w:rPr>
        <w:t>Income</w:t>
      </w:r>
    </w:p>
    <w:p w:rsidR="007600EB" w:rsidRPr="00413BC4" w:rsidRDefault="007600EB" w:rsidP="007600EB">
      <w:pPr>
        <w:rPr>
          <w:lang w:val="en-GB"/>
        </w:rPr>
      </w:pPr>
      <w:r w:rsidRPr="00413BC4">
        <w:rPr>
          <w:lang w:val="en-GB"/>
        </w:rPr>
        <w:t>For ease and clarity the model makes the following assumptions:</w:t>
      </w:r>
    </w:p>
    <w:p w:rsidR="007600EB" w:rsidRPr="00413BC4" w:rsidRDefault="007600EB" w:rsidP="00DF4E44">
      <w:pPr>
        <w:ind w:left="450"/>
        <w:rPr>
          <w:lang w:val="en-GB"/>
        </w:rPr>
      </w:pPr>
      <w:r w:rsidRPr="00413BC4">
        <w:rPr>
          <w:lang w:val="en-GB"/>
        </w:rPr>
        <w:t xml:space="preserve">No Government subsidies; all income is from student fees.  </w:t>
      </w:r>
    </w:p>
    <w:p w:rsidR="007600EB" w:rsidRPr="00413BC4" w:rsidRDefault="007600EB" w:rsidP="00DF4E44">
      <w:pPr>
        <w:ind w:left="450"/>
        <w:rPr>
          <w:lang w:val="en-GB"/>
        </w:rPr>
      </w:pPr>
      <w:r w:rsidRPr="00413BC4">
        <w:rPr>
          <w:lang w:val="en-GB"/>
        </w:rPr>
        <w:t>All students pay</w:t>
      </w:r>
      <w:r w:rsidR="00676A9C">
        <w:rPr>
          <w:lang w:val="en-GB"/>
        </w:rPr>
        <w:t>-</w:t>
      </w:r>
      <w:r w:rsidRPr="00413BC4">
        <w:rPr>
          <w:lang w:val="en-GB"/>
        </w:rPr>
        <w:t>in</w:t>
      </w:r>
      <w:r w:rsidR="00676A9C">
        <w:rPr>
          <w:lang w:val="en-GB"/>
        </w:rPr>
        <w:t>-</w:t>
      </w:r>
      <w:r w:rsidRPr="00413BC4">
        <w:rPr>
          <w:lang w:val="en-GB"/>
        </w:rPr>
        <w:t>advance each semester.</w:t>
      </w:r>
    </w:p>
    <w:p w:rsidR="007600EB" w:rsidRPr="00413BC4" w:rsidRDefault="007600EB" w:rsidP="00DF4E44">
      <w:pPr>
        <w:ind w:left="450"/>
        <w:rPr>
          <w:lang w:val="en-GB"/>
        </w:rPr>
      </w:pPr>
      <w:r w:rsidRPr="00413BC4">
        <w:rPr>
          <w:lang w:val="en-GB"/>
        </w:rPr>
        <w:t>All students take three modules per semester in the first year and two modules per semester thereafter.</w:t>
      </w:r>
    </w:p>
    <w:p w:rsidR="007600EB" w:rsidRPr="00413BC4" w:rsidRDefault="007600EB" w:rsidP="00DF4E44">
      <w:pPr>
        <w:ind w:left="450"/>
        <w:rPr>
          <w:lang w:val="en-GB"/>
        </w:rPr>
      </w:pPr>
      <w:r w:rsidRPr="00413BC4">
        <w:rPr>
          <w:lang w:val="en-GB"/>
        </w:rPr>
        <w:t>No allowance for debtors.</w:t>
      </w:r>
    </w:p>
    <w:p w:rsidR="007600EB" w:rsidRPr="00413BC4" w:rsidRDefault="007600EB" w:rsidP="00DF4E44">
      <w:pPr>
        <w:ind w:left="450"/>
        <w:rPr>
          <w:lang w:val="en-GB"/>
        </w:rPr>
      </w:pPr>
      <w:r w:rsidRPr="00413BC4">
        <w:rPr>
          <w:lang w:val="en-GB"/>
        </w:rPr>
        <w:t>All students graduate.</w:t>
      </w:r>
    </w:p>
    <w:p w:rsidR="007600EB" w:rsidRPr="00413BC4" w:rsidRDefault="007600EB" w:rsidP="007600EB">
      <w:pPr>
        <w:rPr>
          <w:lang w:val="en-GB"/>
        </w:rPr>
      </w:pPr>
      <w:r w:rsidRPr="00413BC4">
        <w:rPr>
          <w:lang w:val="en-GB"/>
        </w:rPr>
        <w:t xml:space="preserve">Although accepting that the above assumptions would not apply in all real-life situations, variations from the assumptions, and hence variations in the income-outgoing patterns are likely to be de minimus, at least in a conventional WBDL course.  </w:t>
      </w:r>
    </w:p>
    <w:p w:rsidR="007600EB" w:rsidRPr="00413BC4" w:rsidRDefault="007600EB" w:rsidP="007600EB">
      <w:pPr>
        <w:rPr>
          <w:lang w:val="en-GB"/>
        </w:rPr>
      </w:pPr>
      <w:r w:rsidRPr="00413BC4">
        <w:rPr>
          <w:lang w:val="en-GB"/>
        </w:rPr>
        <w:t>The model could be readily adopted to allow for variations, such as debtors, or non-completions.  The presence of these assumptions does not invalidate the model.</w:t>
      </w:r>
    </w:p>
    <w:p w:rsidR="007600EB" w:rsidRPr="00413BC4" w:rsidRDefault="007600EB" w:rsidP="00DF4E44">
      <w:pPr>
        <w:pStyle w:val="Heading4"/>
        <w:rPr>
          <w:lang w:val="en-GB"/>
        </w:rPr>
      </w:pPr>
      <w:r w:rsidRPr="00413BC4">
        <w:rPr>
          <w:lang w:val="en-GB"/>
        </w:rPr>
        <w:t>Costs</w:t>
      </w:r>
    </w:p>
    <w:p w:rsidR="007600EB" w:rsidRPr="00413BC4" w:rsidRDefault="007600EB" w:rsidP="007600EB">
      <w:pPr>
        <w:rPr>
          <w:lang w:val="en-GB"/>
        </w:rPr>
      </w:pPr>
      <w:r w:rsidRPr="00413BC4">
        <w:rPr>
          <w:lang w:val="en-GB"/>
        </w:rPr>
        <w:t>There are two classes of costs; fixed costs, and variable costs.  Fixed costs are a set amount and incurred irrespective of the number of students.  Variable costs are a dependant variable, determined by some other factor.  For example, the time taken to mark assignments will depend on: the number of students, and the number of assignments per student.</w:t>
      </w:r>
    </w:p>
    <w:p w:rsidR="00676A9C" w:rsidRDefault="007600EB" w:rsidP="00676A9C">
      <w:pPr>
        <w:pStyle w:val="Heading4"/>
        <w:rPr>
          <w:lang w:val="en-GB"/>
        </w:rPr>
      </w:pPr>
      <w:r w:rsidRPr="00DF4E44">
        <w:rPr>
          <w:lang w:val="en-GB"/>
        </w:rPr>
        <w:t>Development costs</w:t>
      </w:r>
    </w:p>
    <w:p w:rsidR="007600EB" w:rsidRPr="00413BC4" w:rsidRDefault="007600EB" w:rsidP="007600EB">
      <w:pPr>
        <w:rPr>
          <w:lang w:val="en-GB"/>
        </w:rPr>
      </w:pPr>
      <w:r w:rsidRPr="00413BC4">
        <w:rPr>
          <w:lang w:val="en-GB"/>
        </w:rPr>
        <w:t xml:space="preserve">According to </w:t>
      </w:r>
      <w:r w:rsidRPr="00413BC4">
        <w:rPr>
          <w:noProof/>
          <w:lang w:val="en-GB"/>
        </w:rPr>
        <w:t>(Garbett, 2012)</w:t>
      </w:r>
      <w:r w:rsidRPr="00413BC4">
        <w:rPr>
          <w:lang w:val="en-GB"/>
        </w:rPr>
        <w:t xml:space="preserve"> the cost of developing a 20</w:t>
      </w:r>
      <w:r w:rsidR="00676A9C">
        <w:rPr>
          <w:lang w:val="en-GB"/>
        </w:rPr>
        <w:t>-c</w:t>
      </w:r>
      <w:r w:rsidRPr="00413BC4">
        <w:rPr>
          <w:lang w:val="en-GB"/>
        </w:rPr>
        <w:t xml:space="preserve">redit module; equivalent to 200 student study hours, is 24 person hours, where course design and the module specification are already complete.  The development is the preparation of a study guide to meet pre-specified </w:t>
      </w:r>
      <w:r w:rsidR="00676A9C">
        <w:rPr>
          <w:lang w:val="en-GB"/>
        </w:rPr>
        <w:t>l</w:t>
      </w:r>
      <w:r w:rsidRPr="00413BC4">
        <w:rPr>
          <w:lang w:val="en-GB"/>
        </w:rPr>
        <w:t xml:space="preserve">earning </w:t>
      </w:r>
      <w:r w:rsidR="00676A9C">
        <w:rPr>
          <w:lang w:val="en-GB"/>
        </w:rPr>
        <w:t>o</w:t>
      </w:r>
      <w:r w:rsidRPr="00413BC4">
        <w:rPr>
          <w:lang w:val="en-GB"/>
        </w:rPr>
        <w:t xml:space="preserve">utcomes.  The </w:t>
      </w:r>
      <w:r w:rsidR="00676A9C">
        <w:rPr>
          <w:lang w:val="en-GB"/>
        </w:rPr>
        <w:t>d</w:t>
      </w:r>
      <w:r w:rsidRPr="00413BC4">
        <w:rPr>
          <w:lang w:val="en-GB"/>
        </w:rPr>
        <w:t xml:space="preserve">istance </w:t>
      </w:r>
      <w:r w:rsidR="00676A9C">
        <w:rPr>
          <w:lang w:val="en-GB"/>
        </w:rPr>
        <w:t>l</w:t>
      </w:r>
      <w:r w:rsidRPr="00413BC4">
        <w:rPr>
          <w:lang w:val="en-GB"/>
        </w:rPr>
        <w:t xml:space="preserve">earning (DL) strategy is “wrap around” i.e. the tutor prepares a study guide, broken down into </w:t>
      </w:r>
      <w:r w:rsidR="00676A9C">
        <w:rPr>
          <w:lang w:val="en-GB"/>
        </w:rPr>
        <w:t>u</w:t>
      </w:r>
      <w:r w:rsidRPr="00413BC4">
        <w:rPr>
          <w:lang w:val="en-GB"/>
        </w:rPr>
        <w:t xml:space="preserve">nits and </w:t>
      </w:r>
      <w:r w:rsidR="00676A9C">
        <w:rPr>
          <w:lang w:val="en-GB"/>
        </w:rPr>
        <w:t>t</w:t>
      </w:r>
      <w:r w:rsidRPr="00413BC4">
        <w:rPr>
          <w:lang w:val="en-GB"/>
        </w:rPr>
        <w:t xml:space="preserve">opics, pointing the student to relevant learning materials and </w:t>
      </w:r>
      <w:r w:rsidR="00676A9C">
        <w:rPr>
          <w:lang w:val="en-GB"/>
        </w:rPr>
        <w:t>open education resources (</w:t>
      </w:r>
      <w:r w:rsidRPr="00413BC4">
        <w:rPr>
          <w:lang w:val="en-GB"/>
        </w:rPr>
        <w:t>OER</w:t>
      </w:r>
      <w:r w:rsidR="00676A9C">
        <w:rPr>
          <w:lang w:val="en-GB"/>
        </w:rPr>
        <w:t>)</w:t>
      </w:r>
      <w:r w:rsidRPr="00413BC4">
        <w:rPr>
          <w:lang w:val="en-GB"/>
        </w:rPr>
        <w:t xml:space="preserve"> already available on the Web.  </w:t>
      </w:r>
    </w:p>
    <w:p w:rsidR="007600EB" w:rsidRPr="00413BC4" w:rsidRDefault="007600EB" w:rsidP="007600EB">
      <w:pPr>
        <w:rPr>
          <w:lang w:val="en-GB"/>
        </w:rPr>
      </w:pPr>
      <w:r w:rsidRPr="00413BC4">
        <w:rPr>
          <w:lang w:val="en-GB"/>
        </w:rPr>
        <w:t xml:space="preserve">Using a mid-point on a senior academic scale of £57 p hour, 24 hrs. equals £1,368.  Allowing a 10% uplift for contingencies, i.e. £137, gives an equated cost of £1,505, rounded to £1,500.  This is a one-off capital cost per module.  </w:t>
      </w:r>
    </w:p>
    <w:p w:rsidR="007600EB" w:rsidRPr="00413BC4" w:rsidRDefault="007600EB" w:rsidP="007600EB">
      <w:pPr>
        <w:rPr>
          <w:lang w:val="en-GB"/>
        </w:rPr>
      </w:pPr>
      <w:r w:rsidRPr="00413BC4">
        <w:rPr>
          <w:lang w:val="en-GB"/>
        </w:rPr>
        <w:t xml:space="preserve">A Canadian </w:t>
      </w:r>
      <w:r w:rsidRPr="00413BC4">
        <w:rPr>
          <w:noProof/>
          <w:lang w:val="en-GB"/>
        </w:rPr>
        <w:t xml:space="preserve">study (Bartolci-Zlomislic, 1999) considered the costs of developing an WBDL Masters course developed in 1997.  The overall cost data includes set up costs such as initial </w:t>
      </w:r>
      <w:r w:rsidRPr="00413BC4">
        <w:rPr>
          <w:noProof/>
          <w:lang w:val="en-GB"/>
        </w:rPr>
        <w:lastRenderedPageBreak/>
        <w:t xml:space="preserve">course planning, marketing, copyright etc.  There is sufficient granularity of the data, however to identify 337 hours development time.  Again using the elemental cost unit of £57 p hour, this equates to £19,207 in development (authoring) cost.  The notional student hours is not stated, but, assuming a 1997 Masters degree equates to a present day Masters degree; that gives £2,135 to write a 20 credit module.  Given the 1997 level of technology, this compares very favourably to the £1,500 cost cited above.  </w:t>
      </w:r>
    </w:p>
    <w:p w:rsidR="007600EB" w:rsidRPr="00413BC4" w:rsidRDefault="007600EB" w:rsidP="007600EB">
      <w:pPr>
        <w:rPr>
          <w:noProof/>
          <w:lang w:val="en-GB"/>
        </w:rPr>
      </w:pPr>
      <w:r w:rsidRPr="00413BC4">
        <w:rPr>
          <w:noProof/>
          <w:lang w:val="en-GB"/>
        </w:rPr>
        <w:t xml:space="preserve">Butcher &amp; Hoosen </w:t>
      </w:r>
      <w:r w:rsidR="00DF4E44">
        <w:rPr>
          <w:noProof/>
          <w:lang w:val="en-GB"/>
        </w:rPr>
        <w:t>(</w:t>
      </w:r>
      <w:r w:rsidRPr="00413BC4">
        <w:rPr>
          <w:noProof/>
          <w:lang w:val="en-GB"/>
        </w:rPr>
        <w:t xml:space="preserve">2012) </w:t>
      </w:r>
      <w:r w:rsidRPr="00676A9C">
        <w:rPr>
          <w:i/>
          <w:noProof/>
          <w:lang w:val="en-GB"/>
        </w:rPr>
        <w:t>op cit</w:t>
      </w:r>
      <w:r w:rsidRPr="00413BC4">
        <w:rPr>
          <w:noProof/>
          <w:lang w:val="en-GB"/>
        </w:rPr>
        <w:t xml:space="preserve"> suggest costs between 1 person hour preparation time: 1 hour student learning; to 3,000 hours preparation time:1 hour student learning time giving a cost range between £11,400 to £600,000.  This range is so extreme that it can not be used for comparative purposes and makes no distinction between types of WBDL material.  </w:t>
      </w:r>
    </w:p>
    <w:p w:rsidR="007600EB" w:rsidRPr="00413BC4" w:rsidRDefault="007600EB" w:rsidP="007600EB">
      <w:pPr>
        <w:rPr>
          <w:noProof/>
          <w:lang w:val="en-GB"/>
        </w:rPr>
      </w:pPr>
      <w:r w:rsidRPr="00413BC4">
        <w:rPr>
          <w:noProof/>
          <w:lang w:val="en-GB"/>
        </w:rPr>
        <w:t>Butcher &amp; Hoosen</w:t>
      </w:r>
      <w:r w:rsidR="00DF4E44">
        <w:rPr>
          <w:noProof/>
          <w:lang w:val="en-GB"/>
        </w:rPr>
        <w:t xml:space="preserve"> (</w:t>
      </w:r>
      <w:r w:rsidRPr="00413BC4">
        <w:rPr>
          <w:noProof/>
          <w:lang w:val="en-GB"/>
        </w:rPr>
        <w:t xml:space="preserve"> 2012) also cite a case-study from Guyana estimated at 3.8 person hours preparation: 1 hour student learning, including course design and specification.  This equates to £43,320 for a 20 credit module.  The authors suggest that Guyana experience is not necessarily directly comparable to the experience in other countries.</w:t>
      </w:r>
    </w:p>
    <w:p w:rsidR="007600EB" w:rsidRPr="00413BC4" w:rsidRDefault="007600EB" w:rsidP="007600EB">
      <w:pPr>
        <w:rPr>
          <w:lang w:val="en-GB"/>
        </w:rPr>
      </w:pPr>
      <w:r w:rsidRPr="00413BC4">
        <w:rPr>
          <w:noProof/>
          <w:lang w:val="en-GB"/>
        </w:rPr>
        <w:t>Boetcher</w:t>
      </w:r>
      <w:r w:rsidR="00DF4E44">
        <w:rPr>
          <w:noProof/>
          <w:lang w:val="en-GB"/>
        </w:rPr>
        <w:t xml:space="preserve"> (</w:t>
      </w:r>
      <w:r w:rsidRPr="00413BC4">
        <w:rPr>
          <w:noProof/>
          <w:lang w:val="en-GB"/>
        </w:rPr>
        <w:t xml:space="preserve"> 2013)</w:t>
      </w:r>
      <w:r w:rsidRPr="00413BC4">
        <w:rPr>
          <w:lang w:val="en-GB"/>
        </w:rPr>
        <w:t xml:space="preserve"> op cit., suggests 18 hrs preparation: 1 hour student learning, for an inexperienced tutor, giving a capital figure of £205,200 for a 20 credit module.  Boetcher suggests that, for an experienced tutor this could be reduced significantly.  </w:t>
      </w:r>
    </w:p>
    <w:p w:rsidR="007600EB" w:rsidRPr="00413BC4" w:rsidRDefault="007600EB" w:rsidP="007600EB">
      <w:pPr>
        <w:rPr>
          <w:lang w:val="en-GB"/>
        </w:rPr>
      </w:pPr>
      <w:r w:rsidRPr="00413BC4">
        <w:rPr>
          <w:noProof/>
          <w:lang w:val="en-GB"/>
        </w:rPr>
        <w:t xml:space="preserve">Laurillard </w:t>
      </w:r>
      <w:r w:rsidR="00DF4E44">
        <w:rPr>
          <w:noProof/>
          <w:lang w:val="en-GB"/>
        </w:rPr>
        <w:t>(</w:t>
      </w:r>
      <w:r w:rsidRPr="00413BC4">
        <w:rPr>
          <w:noProof/>
          <w:lang w:val="en-GB"/>
        </w:rPr>
        <w:t>2007)</w:t>
      </w:r>
      <w:r w:rsidRPr="00413BC4">
        <w:rPr>
          <w:lang w:val="en-GB"/>
        </w:rPr>
        <w:t xml:space="preserve"> produces the following production costs for developing material: ½ hr. staff time: 1 hr. student time for a tutorial, and 1 hr. staff time; 1 hr. student time to produce a Computer-Mediated Communication.  This approximates to £5,700 production time for a 200 hr. module.</w:t>
      </w:r>
    </w:p>
    <w:p w:rsidR="007600EB" w:rsidRDefault="007600EB" w:rsidP="007600EB">
      <w:pPr>
        <w:rPr>
          <w:lang w:val="en-GB"/>
        </w:rPr>
      </w:pPr>
      <w:r w:rsidRPr="00413BC4">
        <w:rPr>
          <w:lang w:val="en-GB"/>
        </w:rPr>
        <w:t>There clearly is an extremely wide variance in cost estimates.</w:t>
      </w:r>
    </w:p>
    <w:p w:rsidR="007600EB" w:rsidRDefault="007600EB" w:rsidP="00DF4E44">
      <w:pPr>
        <w:pStyle w:val="Heading5"/>
        <w:rPr>
          <w:lang w:val="en-GB"/>
        </w:rPr>
      </w:pPr>
      <w:r w:rsidRPr="00413BC4">
        <w:rPr>
          <w:lang w:val="en-GB"/>
        </w:rPr>
        <w:t>Table 1</w:t>
      </w:r>
    </w:p>
    <w:p w:rsidR="007600EB" w:rsidRPr="00413BC4" w:rsidRDefault="007600EB" w:rsidP="00DF4E44">
      <w:pPr>
        <w:pStyle w:val="Heading5"/>
        <w:rPr>
          <w:lang w:val="en-GB"/>
        </w:rPr>
      </w:pPr>
      <w:r w:rsidRPr="00413BC4">
        <w:rPr>
          <w:lang w:val="en-GB"/>
        </w:rPr>
        <w:t>Published costs of developing material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710"/>
        <w:gridCol w:w="2790"/>
      </w:tblGrid>
      <w:tr w:rsidR="007600EB" w:rsidRPr="00413BC4" w:rsidTr="00DF4E44">
        <w:trPr>
          <w:jc w:val="center"/>
        </w:trPr>
        <w:tc>
          <w:tcPr>
            <w:tcW w:w="3235" w:type="dxa"/>
            <w:shd w:val="clear" w:color="auto" w:fill="auto"/>
            <w:vAlign w:val="center"/>
          </w:tcPr>
          <w:p w:rsidR="007600EB" w:rsidRPr="00413BC4" w:rsidRDefault="007600EB" w:rsidP="00DF4E44">
            <w:pPr>
              <w:pStyle w:val="Heading5"/>
              <w:rPr>
                <w:lang w:val="en-GB"/>
              </w:rPr>
            </w:pPr>
            <w:r w:rsidRPr="00413BC4">
              <w:rPr>
                <w:lang w:val="en-GB"/>
              </w:rPr>
              <w:t>Source</w:t>
            </w:r>
          </w:p>
        </w:tc>
        <w:tc>
          <w:tcPr>
            <w:tcW w:w="1710" w:type="dxa"/>
            <w:shd w:val="clear" w:color="auto" w:fill="auto"/>
            <w:vAlign w:val="center"/>
          </w:tcPr>
          <w:p w:rsidR="007600EB" w:rsidRPr="00413BC4" w:rsidRDefault="007600EB" w:rsidP="00DF4E44">
            <w:pPr>
              <w:pStyle w:val="Heading5"/>
              <w:rPr>
                <w:lang w:val="en-GB"/>
              </w:rPr>
            </w:pPr>
            <w:r w:rsidRPr="00413BC4">
              <w:rPr>
                <w:lang w:val="en-GB"/>
              </w:rPr>
              <w:t>Date</w:t>
            </w:r>
          </w:p>
        </w:tc>
        <w:tc>
          <w:tcPr>
            <w:tcW w:w="2790" w:type="dxa"/>
            <w:shd w:val="clear" w:color="auto" w:fill="auto"/>
            <w:vAlign w:val="center"/>
          </w:tcPr>
          <w:p w:rsidR="007600EB" w:rsidRPr="00413BC4" w:rsidRDefault="007600EB" w:rsidP="00DF4E44">
            <w:pPr>
              <w:pStyle w:val="Heading5"/>
              <w:rPr>
                <w:lang w:val="en-GB"/>
              </w:rPr>
            </w:pPr>
            <w:r w:rsidRPr="00413BC4">
              <w:rPr>
                <w:lang w:val="en-GB"/>
              </w:rPr>
              <w:t xml:space="preserve">Cost of Producing </w:t>
            </w:r>
            <w:r w:rsidR="00DF4E44">
              <w:rPr>
                <w:lang w:val="en-GB"/>
              </w:rPr>
              <w:br/>
            </w:r>
            <w:r w:rsidRPr="00413BC4">
              <w:rPr>
                <w:lang w:val="en-GB"/>
              </w:rPr>
              <w:t>a 20 credit module</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Garbett</w:t>
            </w:r>
          </w:p>
        </w:tc>
        <w:tc>
          <w:tcPr>
            <w:tcW w:w="1710" w:type="dxa"/>
            <w:shd w:val="clear" w:color="auto" w:fill="auto"/>
          </w:tcPr>
          <w:p w:rsidR="007600EB" w:rsidRPr="00413BC4" w:rsidRDefault="007600EB" w:rsidP="00DF4E44">
            <w:pPr>
              <w:jc w:val="center"/>
              <w:rPr>
                <w:sz w:val="20"/>
                <w:lang w:val="en-GB"/>
              </w:rPr>
            </w:pPr>
            <w:r w:rsidRPr="00413BC4">
              <w:rPr>
                <w:sz w:val="20"/>
                <w:lang w:val="en-GB"/>
              </w:rPr>
              <w:t>2012</w:t>
            </w:r>
          </w:p>
        </w:tc>
        <w:tc>
          <w:tcPr>
            <w:tcW w:w="2790" w:type="dxa"/>
            <w:shd w:val="clear" w:color="auto" w:fill="auto"/>
          </w:tcPr>
          <w:p w:rsidR="007600EB" w:rsidRPr="00413BC4" w:rsidRDefault="007600EB" w:rsidP="00DF4E44">
            <w:pPr>
              <w:jc w:val="center"/>
              <w:rPr>
                <w:sz w:val="20"/>
                <w:lang w:val="en-GB"/>
              </w:rPr>
            </w:pPr>
            <w:r w:rsidRPr="00413BC4">
              <w:rPr>
                <w:sz w:val="20"/>
                <w:lang w:val="en-GB"/>
              </w:rPr>
              <w:t>£1,500</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Bartolci  &amp; Zlomislic</w:t>
            </w:r>
          </w:p>
        </w:tc>
        <w:tc>
          <w:tcPr>
            <w:tcW w:w="1710" w:type="dxa"/>
            <w:shd w:val="clear" w:color="auto" w:fill="auto"/>
          </w:tcPr>
          <w:p w:rsidR="007600EB" w:rsidRPr="00413BC4" w:rsidRDefault="007600EB" w:rsidP="00DF4E44">
            <w:pPr>
              <w:jc w:val="center"/>
              <w:rPr>
                <w:sz w:val="20"/>
                <w:lang w:val="en-GB"/>
              </w:rPr>
            </w:pPr>
            <w:r w:rsidRPr="00413BC4">
              <w:rPr>
                <w:sz w:val="20"/>
                <w:lang w:val="en-GB"/>
              </w:rPr>
              <w:t>1999</w:t>
            </w:r>
          </w:p>
        </w:tc>
        <w:tc>
          <w:tcPr>
            <w:tcW w:w="2790" w:type="dxa"/>
            <w:shd w:val="clear" w:color="auto" w:fill="auto"/>
          </w:tcPr>
          <w:p w:rsidR="007600EB" w:rsidRPr="00413BC4" w:rsidRDefault="007600EB" w:rsidP="00DF4E44">
            <w:pPr>
              <w:jc w:val="center"/>
              <w:rPr>
                <w:sz w:val="20"/>
                <w:lang w:val="en-GB"/>
              </w:rPr>
            </w:pPr>
            <w:r w:rsidRPr="00413BC4">
              <w:rPr>
                <w:sz w:val="20"/>
                <w:lang w:val="en-GB"/>
              </w:rPr>
              <w:t>£2135</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Laurillard</w:t>
            </w:r>
          </w:p>
        </w:tc>
        <w:tc>
          <w:tcPr>
            <w:tcW w:w="1710" w:type="dxa"/>
            <w:shd w:val="clear" w:color="auto" w:fill="auto"/>
          </w:tcPr>
          <w:p w:rsidR="007600EB" w:rsidRPr="00413BC4" w:rsidRDefault="007600EB" w:rsidP="00DF4E44">
            <w:pPr>
              <w:jc w:val="center"/>
              <w:rPr>
                <w:sz w:val="20"/>
                <w:lang w:val="en-GB"/>
              </w:rPr>
            </w:pPr>
            <w:r w:rsidRPr="00413BC4">
              <w:rPr>
                <w:sz w:val="20"/>
                <w:lang w:val="en-GB"/>
              </w:rPr>
              <w:t>2007</w:t>
            </w:r>
          </w:p>
        </w:tc>
        <w:tc>
          <w:tcPr>
            <w:tcW w:w="2790" w:type="dxa"/>
            <w:shd w:val="clear" w:color="auto" w:fill="auto"/>
          </w:tcPr>
          <w:p w:rsidR="007600EB" w:rsidRPr="00413BC4" w:rsidRDefault="007600EB" w:rsidP="00DF4E44">
            <w:pPr>
              <w:jc w:val="center"/>
              <w:rPr>
                <w:sz w:val="20"/>
                <w:lang w:val="en-GB"/>
              </w:rPr>
            </w:pPr>
            <w:r w:rsidRPr="00413BC4">
              <w:rPr>
                <w:sz w:val="20"/>
                <w:lang w:val="en-GB"/>
              </w:rPr>
              <w:t>£5,700</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Butcher &amp; Hoosen</w:t>
            </w:r>
          </w:p>
        </w:tc>
        <w:tc>
          <w:tcPr>
            <w:tcW w:w="1710" w:type="dxa"/>
            <w:shd w:val="clear" w:color="auto" w:fill="auto"/>
          </w:tcPr>
          <w:p w:rsidR="007600EB" w:rsidRPr="00413BC4" w:rsidRDefault="007600EB" w:rsidP="00DF4E44">
            <w:pPr>
              <w:jc w:val="center"/>
              <w:rPr>
                <w:sz w:val="20"/>
                <w:lang w:val="en-GB"/>
              </w:rPr>
            </w:pPr>
            <w:r w:rsidRPr="00413BC4">
              <w:rPr>
                <w:sz w:val="20"/>
                <w:lang w:val="en-GB"/>
              </w:rPr>
              <w:t>2012</w:t>
            </w:r>
          </w:p>
        </w:tc>
        <w:tc>
          <w:tcPr>
            <w:tcW w:w="2790" w:type="dxa"/>
            <w:shd w:val="clear" w:color="auto" w:fill="auto"/>
          </w:tcPr>
          <w:p w:rsidR="007600EB" w:rsidRPr="00413BC4" w:rsidRDefault="007600EB" w:rsidP="00DF4E44">
            <w:pPr>
              <w:jc w:val="center"/>
              <w:rPr>
                <w:sz w:val="20"/>
                <w:lang w:val="en-GB"/>
              </w:rPr>
            </w:pPr>
            <w:r w:rsidRPr="00413BC4">
              <w:rPr>
                <w:sz w:val="20"/>
                <w:lang w:val="en-GB"/>
              </w:rPr>
              <w:t>(£11,400 - £600,000)</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Butcher &amp; Hoosen (Guyana study)</w:t>
            </w:r>
          </w:p>
        </w:tc>
        <w:tc>
          <w:tcPr>
            <w:tcW w:w="1710" w:type="dxa"/>
            <w:shd w:val="clear" w:color="auto" w:fill="auto"/>
          </w:tcPr>
          <w:p w:rsidR="007600EB" w:rsidRPr="00413BC4" w:rsidRDefault="007600EB" w:rsidP="00DF4E44">
            <w:pPr>
              <w:jc w:val="center"/>
              <w:rPr>
                <w:sz w:val="20"/>
                <w:lang w:val="en-GB"/>
              </w:rPr>
            </w:pPr>
            <w:r w:rsidRPr="00413BC4">
              <w:rPr>
                <w:sz w:val="20"/>
                <w:lang w:val="en-GB"/>
              </w:rPr>
              <w:t>2012</w:t>
            </w:r>
          </w:p>
        </w:tc>
        <w:tc>
          <w:tcPr>
            <w:tcW w:w="2790" w:type="dxa"/>
            <w:shd w:val="clear" w:color="auto" w:fill="auto"/>
          </w:tcPr>
          <w:p w:rsidR="007600EB" w:rsidRPr="00413BC4" w:rsidRDefault="007600EB" w:rsidP="00DF4E44">
            <w:pPr>
              <w:jc w:val="center"/>
              <w:rPr>
                <w:sz w:val="20"/>
                <w:lang w:val="en-GB"/>
              </w:rPr>
            </w:pPr>
            <w:r w:rsidRPr="00413BC4">
              <w:rPr>
                <w:sz w:val="20"/>
                <w:lang w:val="en-GB"/>
              </w:rPr>
              <w:t>£43,320</w:t>
            </w:r>
          </w:p>
        </w:tc>
      </w:tr>
      <w:tr w:rsidR="007600EB" w:rsidRPr="00413BC4" w:rsidTr="00DF4E44">
        <w:trPr>
          <w:jc w:val="center"/>
        </w:trPr>
        <w:tc>
          <w:tcPr>
            <w:tcW w:w="3235" w:type="dxa"/>
            <w:shd w:val="clear" w:color="auto" w:fill="auto"/>
          </w:tcPr>
          <w:p w:rsidR="007600EB" w:rsidRPr="00413BC4" w:rsidRDefault="007600EB" w:rsidP="007600EB">
            <w:pPr>
              <w:rPr>
                <w:sz w:val="20"/>
                <w:lang w:val="en-GB"/>
              </w:rPr>
            </w:pPr>
            <w:r w:rsidRPr="00413BC4">
              <w:rPr>
                <w:sz w:val="20"/>
                <w:lang w:val="en-GB"/>
              </w:rPr>
              <w:t>Boetcher</w:t>
            </w:r>
          </w:p>
        </w:tc>
        <w:tc>
          <w:tcPr>
            <w:tcW w:w="1710" w:type="dxa"/>
            <w:shd w:val="clear" w:color="auto" w:fill="auto"/>
          </w:tcPr>
          <w:p w:rsidR="007600EB" w:rsidRPr="00413BC4" w:rsidRDefault="007600EB" w:rsidP="00DF4E44">
            <w:pPr>
              <w:jc w:val="center"/>
              <w:rPr>
                <w:sz w:val="20"/>
                <w:lang w:val="en-GB"/>
              </w:rPr>
            </w:pPr>
            <w:r w:rsidRPr="00413BC4">
              <w:rPr>
                <w:sz w:val="20"/>
                <w:lang w:val="en-GB"/>
              </w:rPr>
              <w:t>2013</w:t>
            </w:r>
          </w:p>
        </w:tc>
        <w:tc>
          <w:tcPr>
            <w:tcW w:w="2790" w:type="dxa"/>
            <w:shd w:val="clear" w:color="auto" w:fill="auto"/>
          </w:tcPr>
          <w:p w:rsidR="007600EB" w:rsidRPr="00413BC4" w:rsidRDefault="007600EB" w:rsidP="00DF4E44">
            <w:pPr>
              <w:jc w:val="center"/>
              <w:rPr>
                <w:sz w:val="20"/>
                <w:lang w:val="en-GB"/>
              </w:rPr>
            </w:pPr>
            <w:r w:rsidRPr="00413BC4">
              <w:rPr>
                <w:sz w:val="20"/>
                <w:lang w:val="en-GB"/>
              </w:rPr>
              <w:t>£205,200</w:t>
            </w:r>
          </w:p>
        </w:tc>
      </w:tr>
    </w:tbl>
    <w:p w:rsidR="007600EB" w:rsidRPr="00413BC4" w:rsidRDefault="007600EB" w:rsidP="00DF4E44">
      <w:pPr>
        <w:pStyle w:val="Heading4"/>
        <w:rPr>
          <w:lang w:val="en-GB"/>
        </w:rPr>
      </w:pPr>
      <w:r w:rsidRPr="00413BC4">
        <w:rPr>
          <w:lang w:val="en-GB"/>
        </w:rPr>
        <w:t xml:space="preserve">Cost </w:t>
      </w:r>
      <w:r w:rsidR="00463A39">
        <w:rPr>
          <w:lang w:val="en-GB"/>
        </w:rPr>
        <w:t>f</w:t>
      </w:r>
      <w:r w:rsidRPr="00413BC4">
        <w:rPr>
          <w:lang w:val="en-GB"/>
        </w:rPr>
        <w:t>actors</w:t>
      </w:r>
    </w:p>
    <w:p w:rsidR="007600EB" w:rsidRPr="00413BC4" w:rsidRDefault="007600EB" w:rsidP="007600EB">
      <w:pPr>
        <w:rPr>
          <w:lang w:val="en-GB"/>
        </w:rPr>
      </w:pPr>
      <w:r w:rsidRPr="00413BC4">
        <w:rPr>
          <w:lang w:val="en-GB"/>
        </w:rPr>
        <w:t xml:space="preserve">In considering the wide range of costs, some factors should be addressed.  </w:t>
      </w:r>
    </w:p>
    <w:p w:rsidR="007600EB" w:rsidRPr="00413BC4" w:rsidRDefault="007600EB" w:rsidP="007600EB">
      <w:pPr>
        <w:rPr>
          <w:noProof/>
          <w:lang w:val="en-GB"/>
        </w:rPr>
      </w:pPr>
      <w:r w:rsidRPr="00413BC4">
        <w:rPr>
          <w:noProof/>
          <w:lang w:val="en-GB"/>
        </w:rPr>
        <w:t>(Price, et al 1999) posed the telling question “</w:t>
      </w:r>
      <w:r w:rsidRPr="00413BC4">
        <w:rPr>
          <w:i/>
          <w:noProof/>
          <w:lang w:val="en-GB"/>
        </w:rPr>
        <w:t>Why do professional educators embrace high-cost technologies when low-cost technologies work as well?”</w:t>
      </w:r>
      <w:r w:rsidRPr="00413BC4">
        <w:rPr>
          <w:noProof/>
          <w:lang w:val="en-GB"/>
        </w:rPr>
        <w:t xml:space="preserve">  They percieve a bias in educators towards high cost technologies.  </w:t>
      </w:r>
    </w:p>
    <w:p w:rsidR="007600EB" w:rsidRPr="00413BC4" w:rsidRDefault="007600EB" w:rsidP="007600EB">
      <w:pPr>
        <w:rPr>
          <w:noProof/>
          <w:lang w:val="en-GB"/>
        </w:rPr>
      </w:pPr>
      <w:r w:rsidRPr="00413BC4">
        <w:rPr>
          <w:noProof/>
          <w:lang w:val="en-GB"/>
        </w:rPr>
        <w:t>There is also the very understandable position; from both in-house and bought-in development teams, to exagerate the cost and complexity of the undertaking, to increase income, or to increase staff deployment time.   Of the costs cited above, the lower costs come from analysed case studies, the higher costs from quoted estimates.</w:t>
      </w:r>
    </w:p>
    <w:p w:rsidR="007600EB" w:rsidRPr="00413BC4" w:rsidRDefault="007600EB" w:rsidP="007600EB">
      <w:pPr>
        <w:rPr>
          <w:noProof/>
          <w:lang w:val="en-GB"/>
        </w:rPr>
      </w:pPr>
      <w:r w:rsidRPr="00413BC4">
        <w:rPr>
          <w:noProof/>
          <w:lang w:val="en-GB"/>
        </w:rPr>
        <w:lastRenderedPageBreak/>
        <w:t>There are also different types of WBDL.  It is beyond the scope of this paper to consider the different approaches being promoted.  Different pedagogic, andragogic and heutagogic approaches entail different costs.  For example, consider the cost implications of the UK Open University tie-in with the BBC to produce high quality main stream broadcast television programmes.</w:t>
      </w:r>
    </w:p>
    <w:p w:rsidR="007600EB" w:rsidRPr="00413BC4" w:rsidRDefault="007600EB" w:rsidP="007600EB">
      <w:pPr>
        <w:rPr>
          <w:noProof/>
          <w:lang w:val="en-GB"/>
        </w:rPr>
      </w:pPr>
      <w:r w:rsidRPr="00413BC4">
        <w:rPr>
          <w:noProof/>
          <w:lang w:val="en-GB"/>
        </w:rPr>
        <w:t>A further considertion is that more physical and online resources become available over time.  In the 1990s, when some of the cost estimates were done, computer applications and computing power was very limited compared to what is available in 2014.  The concept of the free Open Educational Resource (OER), was unknown in the 1990s.</w:t>
      </w:r>
    </w:p>
    <w:p w:rsidR="007600EB" w:rsidRPr="00413BC4" w:rsidRDefault="007600EB" w:rsidP="007600EB">
      <w:pPr>
        <w:rPr>
          <w:noProof/>
          <w:lang w:val="en-GB"/>
        </w:rPr>
      </w:pPr>
      <w:r w:rsidRPr="00413BC4">
        <w:rPr>
          <w:noProof/>
          <w:lang w:val="en-GB"/>
        </w:rPr>
        <w:t>Given the above factors, one could reasonably assume that the costs of producing effective, low-tech WBDL course material is on a downward sloping cost curve.  The existence of freely available web-based material from high repute HE Institutions suggests that the monetary value of that material is zero; and hence the production cost, if not also zero, is de minimus.</w:t>
      </w:r>
    </w:p>
    <w:p w:rsidR="007600EB" w:rsidRPr="00413BC4" w:rsidRDefault="007600EB" w:rsidP="00DF4E44">
      <w:pPr>
        <w:pStyle w:val="Heading4"/>
        <w:rPr>
          <w:lang w:val="en-GB"/>
        </w:rPr>
      </w:pPr>
      <w:r w:rsidRPr="00413BC4">
        <w:rPr>
          <w:lang w:val="en-GB"/>
        </w:rPr>
        <w:t xml:space="preserve">Maintenance </w:t>
      </w:r>
      <w:r w:rsidR="00463A39">
        <w:rPr>
          <w:lang w:val="en-GB"/>
        </w:rPr>
        <w:t>c</w:t>
      </w:r>
      <w:r w:rsidRPr="00413BC4">
        <w:rPr>
          <w:lang w:val="en-GB"/>
        </w:rPr>
        <w:t xml:space="preserve">osts.  </w:t>
      </w:r>
    </w:p>
    <w:p w:rsidR="007600EB" w:rsidRPr="00413BC4" w:rsidRDefault="007600EB" w:rsidP="007600EB">
      <w:pPr>
        <w:rPr>
          <w:lang w:val="en-GB"/>
        </w:rPr>
      </w:pPr>
      <w:r w:rsidRPr="00413BC4">
        <w:rPr>
          <w:lang w:val="en-GB"/>
        </w:rPr>
        <w:t>This is the annual cost of maintaining and updating module material.  Such data as there is, though limited, is consistent.</w:t>
      </w:r>
    </w:p>
    <w:p w:rsidR="007600EB" w:rsidRPr="00413BC4" w:rsidRDefault="007600EB" w:rsidP="00367A8B">
      <w:pPr>
        <w:ind w:left="360"/>
        <w:rPr>
          <w:noProof/>
          <w:lang w:val="en-GB"/>
        </w:rPr>
      </w:pPr>
      <w:r w:rsidRPr="00413BC4">
        <w:rPr>
          <w:noProof/>
          <w:lang w:val="en-GB"/>
        </w:rPr>
        <w:t>Garbett</w:t>
      </w:r>
      <w:r w:rsidR="00367A8B">
        <w:rPr>
          <w:noProof/>
          <w:lang w:val="en-GB"/>
        </w:rPr>
        <w:t xml:space="preserve"> (</w:t>
      </w:r>
      <w:r w:rsidRPr="00413BC4">
        <w:rPr>
          <w:noProof/>
          <w:lang w:val="en-GB"/>
        </w:rPr>
        <w:t>2010) estimated 1 day (8 hours) per module.</w:t>
      </w:r>
    </w:p>
    <w:p w:rsidR="007600EB" w:rsidRPr="00413BC4" w:rsidRDefault="007600EB" w:rsidP="00367A8B">
      <w:pPr>
        <w:ind w:left="360"/>
        <w:rPr>
          <w:lang w:val="en-GB"/>
        </w:rPr>
      </w:pPr>
      <w:r w:rsidRPr="00413BC4">
        <w:rPr>
          <w:noProof/>
          <w:lang w:val="en-GB"/>
        </w:rPr>
        <w:t>Morgan</w:t>
      </w:r>
      <w:r w:rsidR="00367A8B">
        <w:rPr>
          <w:noProof/>
          <w:lang w:val="en-GB"/>
        </w:rPr>
        <w:t xml:space="preserve"> (</w:t>
      </w:r>
      <w:r w:rsidRPr="00413BC4">
        <w:rPr>
          <w:noProof/>
          <w:lang w:val="en-GB"/>
        </w:rPr>
        <w:t>2001)</w:t>
      </w:r>
      <w:r w:rsidRPr="00413BC4">
        <w:rPr>
          <w:lang w:val="en-GB"/>
        </w:rPr>
        <w:t xml:space="preserve"> identified 1.5 days or 13 hours per unit.</w:t>
      </w:r>
    </w:p>
    <w:p w:rsidR="007600EB" w:rsidRPr="00413BC4" w:rsidRDefault="007600EB" w:rsidP="007600EB">
      <w:pPr>
        <w:rPr>
          <w:lang w:val="en-GB"/>
        </w:rPr>
      </w:pPr>
      <w:r w:rsidRPr="00413BC4">
        <w:rPr>
          <w:lang w:val="en-GB"/>
        </w:rPr>
        <w:t>This is a recurring annual cost, incurred 1 year after the first production of the module.</w:t>
      </w:r>
    </w:p>
    <w:p w:rsidR="007600EB" w:rsidRPr="00413BC4" w:rsidRDefault="007600EB" w:rsidP="00DF4E44">
      <w:pPr>
        <w:pStyle w:val="Heading4"/>
        <w:rPr>
          <w:lang w:val="en-GB"/>
        </w:rPr>
      </w:pPr>
      <w:r w:rsidRPr="00413BC4">
        <w:rPr>
          <w:lang w:val="en-GB"/>
        </w:rPr>
        <w:t>On</w:t>
      </w:r>
      <w:r w:rsidR="00463A39">
        <w:rPr>
          <w:lang w:val="en-GB"/>
        </w:rPr>
        <w:t>l</w:t>
      </w:r>
      <w:r w:rsidRPr="00413BC4">
        <w:rPr>
          <w:lang w:val="en-GB"/>
        </w:rPr>
        <w:t xml:space="preserve">ine </w:t>
      </w:r>
      <w:r w:rsidR="00463A39">
        <w:rPr>
          <w:lang w:val="en-GB"/>
        </w:rPr>
        <w:t>t</w:t>
      </w:r>
      <w:r w:rsidRPr="00413BC4">
        <w:rPr>
          <w:lang w:val="en-GB"/>
        </w:rPr>
        <w:t xml:space="preserve">utorials. (OLT)  </w:t>
      </w:r>
    </w:p>
    <w:p w:rsidR="007600EB" w:rsidRPr="00413BC4" w:rsidRDefault="007600EB" w:rsidP="007600EB">
      <w:pPr>
        <w:rPr>
          <w:lang w:val="en-GB"/>
        </w:rPr>
      </w:pPr>
      <w:r w:rsidRPr="00413BC4">
        <w:rPr>
          <w:lang w:val="en-GB"/>
        </w:rPr>
        <w:t>OLT are synchronous group sessions with the tutor.  The model assumes a number of OLT per module.  Tutorials are held irrespective of the number of students.  If student numbers grow large enough, there may be a need to split the tutorial groups thus increasing the number, and cost, of tutorials.  This model, however, assumes that once the limit of students has been reached there is no further growth.</w:t>
      </w:r>
    </w:p>
    <w:p w:rsidR="007600EB" w:rsidRPr="00413BC4" w:rsidRDefault="007600EB" w:rsidP="00DF4E44">
      <w:pPr>
        <w:pStyle w:val="Heading4"/>
        <w:rPr>
          <w:lang w:val="en-GB"/>
        </w:rPr>
      </w:pPr>
      <w:r w:rsidRPr="00413BC4">
        <w:rPr>
          <w:lang w:val="en-GB"/>
        </w:rPr>
        <w:t xml:space="preserve">Other </w:t>
      </w:r>
      <w:r w:rsidR="00463A39">
        <w:rPr>
          <w:lang w:val="en-GB"/>
        </w:rPr>
        <w:t>v</w:t>
      </w:r>
      <w:r w:rsidRPr="00413BC4">
        <w:rPr>
          <w:lang w:val="en-GB"/>
        </w:rPr>
        <w:t xml:space="preserve">ariable costs </w:t>
      </w:r>
    </w:p>
    <w:p w:rsidR="007600EB" w:rsidRPr="00413BC4" w:rsidRDefault="007600EB" w:rsidP="007600EB">
      <w:pPr>
        <w:rPr>
          <w:lang w:val="en-GB"/>
        </w:rPr>
      </w:pPr>
      <w:r w:rsidRPr="00413BC4">
        <w:rPr>
          <w:lang w:val="en-GB"/>
        </w:rPr>
        <w:t>Other Variable Costs include:</w:t>
      </w:r>
    </w:p>
    <w:p w:rsidR="007600EB" w:rsidRPr="00413BC4" w:rsidRDefault="007600EB" w:rsidP="00DF4E44">
      <w:pPr>
        <w:ind w:left="360"/>
        <w:rPr>
          <w:lang w:val="en-GB"/>
        </w:rPr>
      </w:pPr>
      <w:r w:rsidRPr="00413BC4">
        <w:rPr>
          <w:lang w:val="en-GB"/>
        </w:rPr>
        <w:t xml:space="preserve">Contribution to central overheads, discussed above.  In UK practice this is a % of gross income. </w:t>
      </w:r>
    </w:p>
    <w:p w:rsidR="007600EB" w:rsidRPr="00413BC4" w:rsidRDefault="007600EB" w:rsidP="00DF4E44">
      <w:pPr>
        <w:ind w:left="360"/>
        <w:rPr>
          <w:lang w:val="en-GB"/>
        </w:rPr>
      </w:pPr>
      <w:r w:rsidRPr="00413BC4">
        <w:rPr>
          <w:lang w:val="en-GB"/>
        </w:rPr>
        <w:t xml:space="preserve">Admin support: </w:t>
      </w:r>
      <w:r w:rsidRPr="00413BC4">
        <w:rPr>
          <w:i/>
          <w:lang w:val="en-GB"/>
        </w:rPr>
        <w:t>x</w:t>
      </w:r>
      <w:r w:rsidRPr="00413BC4">
        <w:rPr>
          <w:lang w:val="en-GB"/>
        </w:rPr>
        <w:t xml:space="preserve"> no of hours per student</w:t>
      </w:r>
    </w:p>
    <w:p w:rsidR="007600EB" w:rsidRPr="00413BC4" w:rsidRDefault="007600EB" w:rsidP="00DF4E44">
      <w:pPr>
        <w:ind w:left="360"/>
        <w:rPr>
          <w:lang w:val="en-GB"/>
        </w:rPr>
      </w:pPr>
      <w:r w:rsidRPr="00413BC4">
        <w:rPr>
          <w:lang w:val="en-GB"/>
        </w:rPr>
        <w:t xml:space="preserve">Individual Tuition, e-mails, telephone tutoring one to one: </w:t>
      </w:r>
      <w:r w:rsidRPr="00413BC4">
        <w:rPr>
          <w:i/>
          <w:lang w:val="en-GB"/>
        </w:rPr>
        <w:t>y</w:t>
      </w:r>
      <w:r w:rsidRPr="00413BC4">
        <w:rPr>
          <w:lang w:val="en-GB"/>
        </w:rPr>
        <w:t xml:space="preserve"> no of hours per student</w:t>
      </w:r>
    </w:p>
    <w:p w:rsidR="007600EB" w:rsidRPr="00413BC4" w:rsidRDefault="007600EB" w:rsidP="00367A8B">
      <w:pPr>
        <w:pStyle w:val="Heading7"/>
        <w:rPr>
          <w:lang w:val="en-GB"/>
        </w:rPr>
      </w:pPr>
      <w:r w:rsidRPr="00413BC4">
        <w:rPr>
          <w:lang w:val="en-GB"/>
        </w:rPr>
        <w:t xml:space="preserve">Hypothetical </w:t>
      </w:r>
      <w:r w:rsidR="00E50348">
        <w:rPr>
          <w:lang w:val="en-GB"/>
        </w:rPr>
        <w:t>c</w:t>
      </w:r>
      <w:r w:rsidRPr="00413BC4">
        <w:rPr>
          <w:lang w:val="en-GB"/>
        </w:rPr>
        <w:t>ourse</w:t>
      </w:r>
    </w:p>
    <w:p w:rsidR="007600EB" w:rsidRPr="00413BC4" w:rsidRDefault="007600EB" w:rsidP="007600EB">
      <w:pPr>
        <w:rPr>
          <w:lang w:val="en-GB"/>
        </w:rPr>
      </w:pPr>
      <w:r w:rsidRPr="00413BC4">
        <w:rPr>
          <w:lang w:val="en-GB"/>
        </w:rPr>
        <w:t xml:space="preserve">To test the model, a hypothetical course is proposed, a new online MSc. </w:t>
      </w:r>
    </w:p>
    <w:p w:rsidR="007600EB" w:rsidRPr="00413BC4" w:rsidRDefault="007600EB" w:rsidP="007600EB">
      <w:pPr>
        <w:rPr>
          <w:lang w:val="en-GB"/>
        </w:rPr>
      </w:pPr>
      <w:r w:rsidRPr="00413BC4">
        <w:rPr>
          <w:lang w:val="en-GB"/>
        </w:rPr>
        <w:t xml:space="preserve">Students take 2 modules per semester, plus an on-going </w:t>
      </w:r>
      <w:r w:rsidRPr="00463A39">
        <w:rPr>
          <w:i/>
          <w:lang w:val="en-GB"/>
        </w:rPr>
        <w:t>Research Methods</w:t>
      </w:r>
      <w:r w:rsidRPr="00413BC4">
        <w:rPr>
          <w:lang w:val="en-GB"/>
        </w:rPr>
        <w:t xml:space="preserve"> module.  The Dissertation is a double module, i.e. 40 credit points. There are 2 semesters per year.  Students join at either semester.  </w:t>
      </w:r>
    </w:p>
    <w:p w:rsidR="007600EB" w:rsidRDefault="007600EB" w:rsidP="007600EB">
      <w:pPr>
        <w:rPr>
          <w:lang w:val="en-GB"/>
        </w:rPr>
      </w:pPr>
      <w:r w:rsidRPr="00413BC4">
        <w:rPr>
          <w:lang w:val="en-GB"/>
        </w:rPr>
        <w:t>After the initial intake, all modules will be populated by students on 2 cohorts.</w:t>
      </w:r>
    </w:p>
    <w:p w:rsidR="00367A8B" w:rsidRPr="00413BC4" w:rsidRDefault="00367A8B" w:rsidP="00367A8B">
      <w:pPr>
        <w:rPr>
          <w:lang w:val="en-GB"/>
        </w:rPr>
      </w:pPr>
      <w:r w:rsidRPr="00413BC4">
        <w:rPr>
          <w:lang w:val="en-GB"/>
        </w:rPr>
        <w:t>All income and expenditure is expressed in Sterling. The model, of course, applies irrespective of currency used.</w:t>
      </w:r>
    </w:p>
    <w:p w:rsidR="00367A8B" w:rsidRPr="00413BC4" w:rsidRDefault="00367A8B" w:rsidP="00463A39">
      <w:pPr>
        <w:pStyle w:val="Heading4"/>
        <w:rPr>
          <w:caps/>
          <w:lang w:val="en-GB"/>
        </w:rPr>
      </w:pPr>
      <w:r w:rsidRPr="00413BC4">
        <w:rPr>
          <w:lang w:val="en-GB"/>
        </w:rPr>
        <w:lastRenderedPageBreak/>
        <w:t xml:space="preserve">Income  </w:t>
      </w:r>
    </w:p>
    <w:p w:rsidR="00367A8B" w:rsidRPr="00413BC4" w:rsidRDefault="00367A8B" w:rsidP="00367A8B">
      <w:pPr>
        <w:rPr>
          <w:lang w:val="en-GB"/>
        </w:rPr>
      </w:pPr>
      <w:r w:rsidRPr="00413BC4">
        <w:rPr>
          <w:lang w:val="en-GB"/>
        </w:rPr>
        <w:t xml:space="preserve">All income is from student fees.  Gross income is the fee income before deductions for central services.  In the hypothetical course study, a rate of 40% of gross income is used as the contribution to central overheads.  This is a fairly standard % rate reflecting UK practice. </w:t>
      </w:r>
    </w:p>
    <w:p w:rsidR="00367A8B" w:rsidRPr="00413BC4" w:rsidRDefault="00367A8B" w:rsidP="00367A8B">
      <w:pPr>
        <w:rPr>
          <w:lang w:val="en-GB"/>
        </w:rPr>
      </w:pPr>
      <w:r w:rsidRPr="00413BC4">
        <w:rPr>
          <w:lang w:val="en-GB"/>
        </w:rPr>
        <w:t xml:space="preserve">This model assumes 5 students recruited, per semester, 10 students per annum.  After Semester 4, the number of students remains constant; students graduating balanced by new recruits.  The module fee is £1,000, based on fees at the </w:t>
      </w:r>
      <w:r w:rsidR="00463A39">
        <w:rPr>
          <w:lang w:val="en-GB"/>
        </w:rPr>
        <w:t>a</w:t>
      </w:r>
      <w:r w:rsidRPr="00413BC4">
        <w:rPr>
          <w:lang w:val="en-GB"/>
        </w:rPr>
        <w:t xml:space="preserve">uthor’s home institution and comparable UK courses.  </w:t>
      </w:r>
    </w:p>
    <w:tbl>
      <w:tblPr>
        <w:tblW w:w="8824" w:type="dxa"/>
        <w:tblInd w:w="534" w:type="dxa"/>
        <w:tblLook w:val="04A0" w:firstRow="1" w:lastRow="0" w:firstColumn="1" w:lastColumn="0" w:noHBand="0" w:noVBand="1"/>
      </w:tblPr>
      <w:tblGrid>
        <w:gridCol w:w="1083"/>
        <w:gridCol w:w="1420"/>
        <w:gridCol w:w="1360"/>
        <w:gridCol w:w="280"/>
        <w:gridCol w:w="1560"/>
        <w:gridCol w:w="1501"/>
        <w:gridCol w:w="236"/>
        <w:gridCol w:w="1384"/>
      </w:tblGrid>
      <w:tr w:rsidR="007600EB" w:rsidRPr="00413BC4" w:rsidTr="007600EB">
        <w:trPr>
          <w:trHeight w:val="270"/>
        </w:trPr>
        <w:tc>
          <w:tcPr>
            <w:tcW w:w="1083" w:type="dxa"/>
            <w:tcBorders>
              <w:top w:val="single" w:sz="4" w:space="0" w:color="auto"/>
              <w:left w:val="single" w:sz="4" w:space="0" w:color="auto"/>
              <w:bottom w:val="nil"/>
              <w:right w:val="nil"/>
            </w:tcBorders>
            <w:shd w:val="clear" w:color="auto" w:fill="auto"/>
            <w:noWrap/>
            <w:vAlign w:val="center"/>
            <w:hideMark/>
          </w:tcPr>
          <w:p w:rsidR="007600EB" w:rsidRPr="00413BC4" w:rsidRDefault="007600EB" w:rsidP="007600EB">
            <w:pPr>
              <w:rPr>
                <w:sz w:val="20"/>
                <w:lang w:val="en-GB" w:eastAsia="en-GB"/>
              </w:rPr>
            </w:pPr>
          </w:p>
        </w:tc>
        <w:tc>
          <w:tcPr>
            <w:tcW w:w="1420" w:type="dxa"/>
            <w:tcBorders>
              <w:top w:val="single" w:sz="4" w:space="0" w:color="auto"/>
              <w:left w:val="single" w:sz="4" w:space="0" w:color="auto"/>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r w:rsidRPr="00413BC4">
              <w:rPr>
                <w:sz w:val="20"/>
                <w:lang w:val="en-GB" w:eastAsia="en-GB"/>
              </w:rPr>
              <w:t>Sept-Feb</w:t>
            </w:r>
          </w:p>
        </w:tc>
        <w:tc>
          <w:tcPr>
            <w:tcW w:w="1360" w:type="dxa"/>
            <w:tcBorders>
              <w:top w:val="single" w:sz="4" w:space="0" w:color="auto"/>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r w:rsidRPr="00413BC4">
              <w:rPr>
                <w:sz w:val="20"/>
                <w:lang w:val="en-GB" w:eastAsia="en-GB"/>
              </w:rPr>
              <w:t>Feb-June</w:t>
            </w:r>
          </w:p>
        </w:tc>
        <w:tc>
          <w:tcPr>
            <w:tcW w:w="280" w:type="dxa"/>
            <w:tcBorders>
              <w:top w:val="single" w:sz="4" w:space="0" w:color="auto"/>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0EB" w:rsidRPr="00413BC4" w:rsidRDefault="007600EB" w:rsidP="007600EB">
            <w:pPr>
              <w:rPr>
                <w:sz w:val="20"/>
                <w:lang w:val="en-GB" w:eastAsia="en-GB"/>
              </w:rPr>
            </w:pPr>
            <w:r w:rsidRPr="00413BC4">
              <w:rPr>
                <w:sz w:val="20"/>
                <w:lang w:val="en-GB" w:eastAsia="en-GB"/>
              </w:rPr>
              <w:t>Sept-Feb</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7600EB" w:rsidRPr="00413BC4" w:rsidRDefault="007600EB" w:rsidP="007600EB">
            <w:pPr>
              <w:rPr>
                <w:sz w:val="20"/>
                <w:lang w:val="en-GB" w:eastAsia="en-GB"/>
              </w:rPr>
            </w:pPr>
            <w:r w:rsidRPr="00413BC4">
              <w:rPr>
                <w:sz w:val="20"/>
                <w:lang w:val="en-GB" w:eastAsia="en-GB"/>
              </w:rPr>
              <w:t>Feb-June</w:t>
            </w:r>
          </w:p>
        </w:tc>
        <w:tc>
          <w:tcPr>
            <w:tcW w:w="236" w:type="dxa"/>
            <w:tcBorders>
              <w:top w:val="single" w:sz="4" w:space="0" w:color="auto"/>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0EB" w:rsidRPr="00413BC4" w:rsidRDefault="007600EB" w:rsidP="007600EB">
            <w:pPr>
              <w:rPr>
                <w:sz w:val="20"/>
                <w:lang w:val="en-GB" w:eastAsia="en-GB"/>
              </w:rPr>
            </w:pPr>
            <w:r w:rsidRPr="00413BC4">
              <w:rPr>
                <w:sz w:val="20"/>
                <w:lang w:val="en-GB" w:eastAsia="en-GB"/>
              </w:rPr>
              <w:t>Sept-Feb</w:t>
            </w:r>
          </w:p>
        </w:tc>
      </w:tr>
      <w:tr w:rsidR="007600EB" w:rsidRPr="00413BC4" w:rsidTr="007600EB">
        <w:trPr>
          <w:trHeight w:val="270"/>
        </w:trPr>
        <w:tc>
          <w:tcPr>
            <w:tcW w:w="1083" w:type="dxa"/>
            <w:tcBorders>
              <w:top w:val="single" w:sz="8" w:space="0" w:color="auto"/>
              <w:left w:val="single" w:sz="8" w:space="0" w:color="auto"/>
              <w:bottom w:val="nil"/>
              <w:right w:val="single" w:sz="8" w:space="0" w:color="auto"/>
            </w:tcBorders>
            <w:shd w:val="clear" w:color="000000" w:fill="C0C0C0"/>
            <w:noWrap/>
            <w:vAlign w:val="center"/>
            <w:hideMark/>
          </w:tcPr>
          <w:p w:rsidR="007600EB" w:rsidRPr="00413BC4" w:rsidRDefault="007600EB" w:rsidP="007600EB">
            <w:pPr>
              <w:rPr>
                <w:b/>
                <w:bCs/>
                <w:i/>
                <w:iCs/>
                <w:sz w:val="20"/>
                <w:lang w:val="en-GB" w:eastAsia="en-GB"/>
              </w:rPr>
            </w:pPr>
          </w:p>
        </w:tc>
        <w:tc>
          <w:tcPr>
            <w:tcW w:w="3060" w:type="dxa"/>
            <w:gridSpan w:val="3"/>
            <w:tcBorders>
              <w:top w:val="single" w:sz="8" w:space="0" w:color="auto"/>
              <w:left w:val="nil"/>
              <w:bottom w:val="single" w:sz="8" w:space="0" w:color="auto"/>
              <w:right w:val="single" w:sz="8" w:space="0" w:color="000000"/>
            </w:tcBorders>
            <w:shd w:val="clear" w:color="000000" w:fill="C0C0C0"/>
            <w:noWrap/>
            <w:vAlign w:val="center"/>
            <w:hideMark/>
          </w:tcPr>
          <w:p w:rsidR="007600EB" w:rsidRPr="00413BC4" w:rsidRDefault="007600EB" w:rsidP="007600EB">
            <w:pPr>
              <w:rPr>
                <w:b/>
                <w:bCs/>
                <w:sz w:val="20"/>
                <w:lang w:val="en-GB" w:eastAsia="en-GB"/>
              </w:rPr>
            </w:pPr>
            <w:r w:rsidRPr="00413BC4">
              <w:rPr>
                <w:b/>
                <w:bCs/>
                <w:sz w:val="20"/>
                <w:lang w:val="en-GB" w:eastAsia="en-GB"/>
              </w:rPr>
              <w:t>Research Methods</w:t>
            </w:r>
          </w:p>
        </w:tc>
        <w:tc>
          <w:tcPr>
            <w:tcW w:w="1560" w:type="dxa"/>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c>
          <w:tcPr>
            <w:tcW w:w="1501"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236"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84" w:type="dxa"/>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r>
      <w:tr w:rsidR="007600EB" w:rsidRPr="00413BC4" w:rsidTr="007600EB">
        <w:trPr>
          <w:trHeight w:val="915"/>
        </w:trPr>
        <w:tc>
          <w:tcPr>
            <w:tcW w:w="1083" w:type="dxa"/>
            <w:vMerge w:val="restart"/>
            <w:tcBorders>
              <w:top w:val="nil"/>
              <w:left w:val="single" w:sz="8" w:space="0" w:color="auto"/>
              <w:bottom w:val="nil"/>
              <w:right w:val="single" w:sz="8" w:space="0" w:color="auto"/>
            </w:tcBorders>
            <w:shd w:val="clear" w:color="000000" w:fill="C0C0C0"/>
            <w:vAlign w:val="center"/>
            <w:hideMark/>
          </w:tcPr>
          <w:p w:rsidR="007600EB" w:rsidRPr="00413BC4" w:rsidRDefault="007600EB" w:rsidP="007600EB">
            <w:pPr>
              <w:rPr>
                <w:b/>
                <w:bCs/>
                <w:i/>
                <w:iCs/>
                <w:sz w:val="20"/>
                <w:lang w:val="en-GB" w:eastAsia="en-GB"/>
              </w:rPr>
            </w:pPr>
            <w:r w:rsidRPr="00413BC4">
              <w:rPr>
                <w:b/>
                <w:bCs/>
                <w:i/>
                <w:iCs/>
                <w:sz w:val="20"/>
                <w:lang w:val="en-GB" w:eastAsia="en-GB"/>
              </w:rPr>
              <w:t>Cohort A</w:t>
            </w:r>
            <w:r w:rsidRPr="00413BC4">
              <w:rPr>
                <w:b/>
                <w:bCs/>
                <w:i/>
                <w:iCs/>
                <w:sz w:val="20"/>
                <w:lang w:val="en-GB" w:eastAsia="en-GB"/>
              </w:rPr>
              <w:br/>
              <w:t>September Start</w:t>
            </w:r>
          </w:p>
        </w:tc>
        <w:tc>
          <w:tcPr>
            <w:tcW w:w="1420" w:type="dxa"/>
            <w:tcBorders>
              <w:top w:val="nil"/>
              <w:left w:val="nil"/>
              <w:bottom w:val="single" w:sz="8" w:space="0" w:color="auto"/>
              <w:right w:val="nil"/>
            </w:tcBorders>
            <w:shd w:val="clear" w:color="000000" w:fill="E6B8B7"/>
            <w:vAlign w:val="center"/>
            <w:hideMark/>
          </w:tcPr>
          <w:p w:rsidR="007600EB" w:rsidRPr="00413BC4" w:rsidRDefault="007600EB" w:rsidP="007600EB">
            <w:pPr>
              <w:rPr>
                <w:b/>
                <w:bCs/>
                <w:sz w:val="20"/>
                <w:lang w:val="en-GB" w:eastAsia="en-GB"/>
              </w:rPr>
            </w:pPr>
            <w:r w:rsidRPr="00413BC4">
              <w:rPr>
                <w:b/>
                <w:bCs/>
                <w:sz w:val="20"/>
                <w:lang w:val="en-GB" w:eastAsia="en-GB"/>
              </w:rPr>
              <w:t>Module 1</w:t>
            </w:r>
          </w:p>
        </w:tc>
        <w:tc>
          <w:tcPr>
            <w:tcW w:w="1360" w:type="dxa"/>
            <w:tcBorders>
              <w:top w:val="nil"/>
              <w:left w:val="single" w:sz="8" w:space="0" w:color="000000"/>
              <w:bottom w:val="single" w:sz="8" w:space="0" w:color="auto"/>
              <w:right w:val="single" w:sz="8" w:space="0" w:color="auto"/>
            </w:tcBorders>
            <w:shd w:val="clear" w:color="000000" w:fill="FF0000"/>
            <w:vAlign w:val="center"/>
            <w:hideMark/>
          </w:tcPr>
          <w:p w:rsidR="007600EB" w:rsidRPr="00413BC4" w:rsidRDefault="007600EB" w:rsidP="007600EB">
            <w:pPr>
              <w:rPr>
                <w:b/>
                <w:bCs/>
                <w:sz w:val="20"/>
                <w:lang w:val="en-GB" w:eastAsia="en-GB"/>
              </w:rPr>
            </w:pPr>
            <w:r w:rsidRPr="00413BC4">
              <w:rPr>
                <w:b/>
                <w:bCs/>
                <w:sz w:val="20"/>
                <w:lang w:val="en-GB" w:eastAsia="en-GB"/>
              </w:rPr>
              <w:t>Module 2</w:t>
            </w:r>
          </w:p>
        </w:tc>
        <w:tc>
          <w:tcPr>
            <w:tcW w:w="28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single" w:sz="8" w:space="0" w:color="auto"/>
              <w:left w:val="single" w:sz="8" w:space="0" w:color="auto"/>
              <w:bottom w:val="single" w:sz="8" w:space="0" w:color="auto"/>
              <w:right w:val="single" w:sz="8" w:space="0" w:color="auto"/>
            </w:tcBorders>
            <w:shd w:val="clear" w:color="000000" w:fill="DAEEF3"/>
            <w:vAlign w:val="center"/>
            <w:hideMark/>
          </w:tcPr>
          <w:p w:rsidR="007600EB" w:rsidRPr="00413BC4" w:rsidRDefault="007600EB" w:rsidP="007600EB">
            <w:pPr>
              <w:rPr>
                <w:b/>
                <w:bCs/>
                <w:sz w:val="20"/>
                <w:lang w:val="en-GB" w:eastAsia="en-GB"/>
              </w:rPr>
            </w:pPr>
            <w:r w:rsidRPr="00413BC4">
              <w:rPr>
                <w:b/>
                <w:bCs/>
                <w:sz w:val="20"/>
                <w:lang w:val="en-GB" w:eastAsia="en-GB"/>
              </w:rPr>
              <w:t>Module 5</w:t>
            </w:r>
          </w:p>
        </w:tc>
        <w:tc>
          <w:tcPr>
            <w:tcW w:w="1501" w:type="dxa"/>
            <w:tcBorders>
              <w:top w:val="single" w:sz="8" w:space="0" w:color="auto"/>
              <w:left w:val="nil"/>
              <w:bottom w:val="nil"/>
              <w:right w:val="single" w:sz="8" w:space="0" w:color="auto"/>
            </w:tcBorders>
            <w:shd w:val="clear" w:color="000000" w:fill="FF9900"/>
            <w:vAlign w:val="center"/>
            <w:hideMark/>
          </w:tcPr>
          <w:p w:rsidR="007600EB" w:rsidRPr="00413BC4" w:rsidRDefault="007600EB" w:rsidP="007600EB">
            <w:pPr>
              <w:rPr>
                <w:b/>
                <w:bCs/>
                <w:sz w:val="20"/>
                <w:lang w:val="en-GB" w:eastAsia="en-GB"/>
              </w:rPr>
            </w:pPr>
            <w:r w:rsidRPr="00413BC4">
              <w:rPr>
                <w:b/>
                <w:bCs/>
                <w:sz w:val="20"/>
                <w:lang w:val="en-GB" w:eastAsia="en-GB"/>
              </w:rPr>
              <w:t>Module 6</w:t>
            </w:r>
          </w:p>
        </w:tc>
        <w:tc>
          <w:tcPr>
            <w:tcW w:w="236" w:type="dxa"/>
            <w:tcBorders>
              <w:top w:val="nil"/>
              <w:left w:val="nil"/>
              <w:bottom w:val="nil"/>
              <w:right w:val="nil"/>
            </w:tcBorders>
            <w:shd w:val="clear" w:color="auto" w:fill="auto"/>
            <w:vAlign w:val="center"/>
            <w:hideMark/>
          </w:tcPr>
          <w:p w:rsidR="007600EB" w:rsidRPr="00413BC4" w:rsidRDefault="007600EB" w:rsidP="007600EB">
            <w:pPr>
              <w:rPr>
                <w:b/>
                <w:bCs/>
                <w:sz w:val="20"/>
                <w:lang w:val="en-GB" w:eastAsia="en-GB"/>
              </w:rPr>
            </w:pPr>
          </w:p>
        </w:tc>
        <w:tc>
          <w:tcPr>
            <w:tcW w:w="1384" w:type="dxa"/>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r>
      <w:tr w:rsidR="007600EB" w:rsidRPr="00413BC4" w:rsidTr="007600EB">
        <w:trPr>
          <w:trHeight w:val="915"/>
        </w:trPr>
        <w:tc>
          <w:tcPr>
            <w:tcW w:w="1083" w:type="dxa"/>
            <w:vMerge/>
            <w:tcBorders>
              <w:top w:val="nil"/>
              <w:left w:val="single" w:sz="8" w:space="0" w:color="auto"/>
              <w:bottom w:val="nil"/>
              <w:right w:val="single" w:sz="8" w:space="0" w:color="auto"/>
            </w:tcBorders>
            <w:vAlign w:val="center"/>
            <w:hideMark/>
          </w:tcPr>
          <w:p w:rsidR="007600EB" w:rsidRPr="00413BC4" w:rsidRDefault="007600EB" w:rsidP="007600EB">
            <w:pPr>
              <w:rPr>
                <w:b/>
                <w:bCs/>
                <w:i/>
                <w:iCs/>
                <w:sz w:val="20"/>
                <w:lang w:val="en-GB" w:eastAsia="en-GB"/>
              </w:rPr>
            </w:pPr>
          </w:p>
        </w:tc>
        <w:tc>
          <w:tcPr>
            <w:tcW w:w="1420" w:type="dxa"/>
            <w:tcBorders>
              <w:top w:val="nil"/>
              <w:left w:val="nil"/>
              <w:bottom w:val="single" w:sz="8" w:space="0" w:color="auto"/>
              <w:right w:val="single" w:sz="8" w:space="0" w:color="auto"/>
            </w:tcBorders>
            <w:shd w:val="clear" w:color="000000" w:fill="C4BD97"/>
            <w:vAlign w:val="center"/>
            <w:hideMark/>
          </w:tcPr>
          <w:p w:rsidR="007600EB" w:rsidRPr="00413BC4" w:rsidRDefault="007600EB" w:rsidP="007600EB">
            <w:pPr>
              <w:rPr>
                <w:b/>
                <w:bCs/>
                <w:sz w:val="20"/>
                <w:lang w:val="en-GB" w:eastAsia="en-GB"/>
              </w:rPr>
            </w:pPr>
            <w:r w:rsidRPr="00413BC4">
              <w:rPr>
                <w:b/>
                <w:bCs/>
                <w:sz w:val="20"/>
                <w:lang w:val="en-GB" w:eastAsia="en-GB"/>
              </w:rPr>
              <w:t>Module 3</w:t>
            </w:r>
          </w:p>
        </w:tc>
        <w:tc>
          <w:tcPr>
            <w:tcW w:w="1360" w:type="dxa"/>
            <w:tcBorders>
              <w:top w:val="nil"/>
              <w:left w:val="nil"/>
              <w:bottom w:val="single" w:sz="8" w:space="0" w:color="auto"/>
              <w:right w:val="single" w:sz="8" w:space="0" w:color="auto"/>
            </w:tcBorders>
            <w:shd w:val="clear" w:color="000000" w:fill="EBF1DE"/>
            <w:vAlign w:val="center"/>
            <w:hideMark/>
          </w:tcPr>
          <w:p w:rsidR="007600EB" w:rsidRPr="00413BC4" w:rsidRDefault="007600EB" w:rsidP="007600EB">
            <w:pPr>
              <w:rPr>
                <w:b/>
                <w:bCs/>
                <w:sz w:val="20"/>
                <w:lang w:val="en-GB" w:eastAsia="en-GB"/>
              </w:rPr>
            </w:pPr>
            <w:r w:rsidRPr="00413BC4">
              <w:rPr>
                <w:b/>
                <w:bCs/>
                <w:sz w:val="20"/>
                <w:lang w:val="en-GB" w:eastAsia="en-GB"/>
              </w:rPr>
              <w:t>Module 4</w:t>
            </w:r>
          </w:p>
        </w:tc>
        <w:tc>
          <w:tcPr>
            <w:tcW w:w="28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nil"/>
              <w:left w:val="single" w:sz="8" w:space="0" w:color="auto"/>
              <w:bottom w:val="single" w:sz="8" w:space="0" w:color="auto"/>
              <w:right w:val="single" w:sz="8" w:space="0" w:color="auto"/>
            </w:tcBorders>
            <w:shd w:val="clear" w:color="000000" w:fill="C0C0C0"/>
            <w:vAlign w:val="center"/>
            <w:hideMark/>
          </w:tcPr>
          <w:p w:rsidR="007600EB" w:rsidRPr="00413BC4" w:rsidRDefault="007600EB" w:rsidP="007600EB">
            <w:pPr>
              <w:rPr>
                <w:b/>
                <w:bCs/>
                <w:sz w:val="20"/>
                <w:lang w:val="en-GB" w:eastAsia="en-GB"/>
              </w:rPr>
            </w:pPr>
            <w:r w:rsidRPr="00413BC4">
              <w:rPr>
                <w:b/>
                <w:bCs/>
                <w:sz w:val="20"/>
                <w:lang w:val="en-GB" w:eastAsia="en-GB"/>
              </w:rPr>
              <w:t xml:space="preserve">Dissertation </w:t>
            </w:r>
          </w:p>
        </w:tc>
        <w:tc>
          <w:tcPr>
            <w:tcW w:w="1501" w:type="dxa"/>
            <w:tcBorders>
              <w:top w:val="single" w:sz="8" w:space="0" w:color="auto"/>
              <w:left w:val="nil"/>
              <w:bottom w:val="single" w:sz="8" w:space="0" w:color="auto"/>
              <w:right w:val="single" w:sz="8" w:space="0" w:color="000000"/>
            </w:tcBorders>
            <w:shd w:val="clear" w:color="000000" w:fill="C0C0C0"/>
            <w:noWrap/>
            <w:vAlign w:val="center"/>
            <w:hideMark/>
          </w:tcPr>
          <w:p w:rsidR="007600EB" w:rsidRPr="00413BC4" w:rsidRDefault="007600EB" w:rsidP="007600EB">
            <w:pPr>
              <w:rPr>
                <w:b/>
                <w:bCs/>
                <w:sz w:val="20"/>
                <w:lang w:val="en-GB" w:eastAsia="en-GB"/>
              </w:rPr>
            </w:pPr>
            <w:r w:rsidRPr="00413BC4">
              <w:rPr>
                <w:b/>
                <w:bCs/>
                <w:sz w:val="20"/>
                <w:lang w:val="en-GB" w:eastAsia="en-GB"/>
              </w:rPr>
              <w:t xml:space="preserve">Dissertation </w:t>
            </w:r>
          </w:p>
        </w:tc>
        <w:tc>
          <w:tcPr>
            <w:tcW w:w="1620" w:type="dxa"/>
            <w:gridSpan w:val="2"/>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r>
      <w:tr w:rsidR="007600EB" w:rsidRPr="00413BC4" w:rsidTr="007600EB">
        <w:trPr>
          <w:trHeight w:val="270"/>
        </w:trPr>
        <w:tc>
          <w:tcPr>
            <w:tcW w:w="1083" w:type="dxa"/>
            <w:tcBorders>
              <w:top w:val="nil"/>
              <w:left w:val="single" w:sz="8" w:space="0" w:color="auto"/>
              <w:bottom w:val="nil"/>
              <w:right w:val="single" w:sz="8" w:space="0" w:color="auto"/>
            </w:tcBorders>
            <w:shd w:val="clear" w:color="000000" w:fill="C0C0C0"/>
            <w:noWrap/>
            <w:vAlign w:val="center"/>
            <w:hideMark/>
          </w:tcPr>
          <w:p w:rsidR="007600EB" w:rsidRPr="00413BC4" w:rsidRDefault="007600EB" w:rsidP="007600EB">
            <w:pPr>
              <w:rPr>
                <w:b/>
                <w:bCs/>
                <w:i/>
                <w:iCs/>
                <w:sz w:val="20"/>
                <w:lang w:val="en-GB" w:eastAsia="en-GB"/>
              </w:rPr>
            </w:pPr>
          </w:p>
        </w:tc>
        <w:tc>
          <w:tcPr>
            <w:tcW w:w="142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6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28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01"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236"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84" w:type="dxa"/>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r>
      <w:tr w:rsidR="007600EB" w:rsidRPr="00413BC4" w:rsidTr="007600EB">
        <w:trPr>
          <w:trHeight w:val="270"/>
        </w:trPr>
        <w:tc>
          <w:tcPr>
            <w:tcW w:w="1083" w:type="dxa"/>
            <w:tcBorders>
              <w:top w:val="nil"/>
              <w:left w:val="single" w:sz="8" w:space="0" w:color="auto"/>
              <w:bottom w:val="nil"/>
              <w:right w:val="single" w:sz="8" w:space="0" w:color="auto"/>
            </w:tcBorders>
            <w:shd w:val="clear" w:color="000000" w:fill="C0C0C0"/>
            <w:noWrap/>
            <w:vAlign w:val="center"/>
            <w:hideMark/>
          </w:tcPr>
          <w:p w:rsidR="007600EB" w:rsidRPr="00413BC4" w:rsidRDefault="007600EB" w:rsidP="007600EB">
            <w:pPr>
              <w:rPr>
                <w:b/>
                <w:bCs/>
                <w:i/>
                <w:iCs/>
                <w:sz w:val="20"/>
                <w:lang w:val="en-GB" w:eastAsia="en-GB"/>
              </w:rPr>
            </w:pPr>
          </w:p>
        </w:tc>
        <w:tc>
          <w:tcPr>
            <w:tcW w:w="142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3200" w:type="dxa"/>
            <w:gridSpan w:val="3"/>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7600EB" w:rsidRPr="00413BC4" w:rsidRDefault="007600EB" w:rsidP="007600EB">
            <w:pPr>
              <w:rPr>
                <w:b/>
                <w:bCs/>
                <w:sz w:val="20"/>
                <w:lang w:val="en-GB" w:eastAsia="en-GB"/>
              </w:rPr>
            </w:pPr>
            <w:r w:rsidRPr="00413BC4">
              <w:rPr>
                <w:b/>
                <w:bCs/>
                <w:sz w:val="20"/>
                <w:lang w:val="en-GB" w:eastAsia="en-GB"/>
              </w:rPr>
              <w:t>Research Methods</w:t>
            </w:r>
          </w:p>
        </w:tc>
        <w:tc>
          <w:tcPr>
            <w:tcW w:w="1501"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236"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84" w:type="dxa"/>
            <w:tcBorders>
              <w:top w:val="nil"/>
              <w:left w:val="nil"/>
              <w:bottom w:val="nil"/>
              <w:right w:val="single" w:sz="4" w:space="0" w:color="auto"/>
            </w:tcBorders>
            <w:shd w:val="clear" w:color="auto" w:fill="auto"/>
            <w:noWrap/>
            <w:vAlign w:val="center"/>
            <w:hideMark/>
          </w:tcPr>
          <w:p w:rsidR="007600EB" w:rsidRPr="00413BC4" w:rsidRDefault="007600EB" w:rsidP="007600EB">
            <w:pPr>
              <w:rPr>
                <w:sz w:val="20"/>
                <w:lang w:val="en-GB" w:eastAsia="en-GB"/>
              </w:rPr>
            </w:pPr>
          </w:p>
        </w:tc>
      </w:tr>
      <w:tr w:rsidR="007600EB" w:rsidRPr="00413BC4" w:rsidTr="007600EB">
        <w:trPr>
          <w:trHeight w:val="915"/>
        </w:trPr>
        <w:tc>
          <w:tcPr>
            <w:tcW w:w="1083" w:type="dxa"/>
            <w:vMerge w:val="restart"/>
            <w:tcBorders>
              <w:top w:val="nil"/>
              <w:left w:val="single" w:sz="8" w:space="0" w:color="auto"/>
              <w:bottom w:val="single" w:sz="8" w:space="0" w:color="000000"/>
              <w:right w:val="single" w:sz="8" w:space="0" w:color="auto"/>
            </w:tcBorders>
            <w:shd w:val="clear" w:color="000000" w:fill="C0C0C0"/>
            <w:vAlign w:val="center"/>
            <w:hideMark/>
          </w:tcPr>
          <w:p w:rsidR="007600EB" w:rsidRPr="00413BC4" w:rsidRDefault="007600EB" w:rsidP="007600EB">
            <w:pPr>
              <w:rPr>
                <w:b/>
                <w:bCs/>
                <w:i/>
                <w:iCs/>
                <w:sz w:val="20"/>
                <w:lang w:val="en-GB" w:eastAsia="en-GB"/>
              </w:rPr>
            </w:pPr>
            <w:r w:rsidRPr="00413BC4">
              <w:rPr>
                <w:b/>
                <w:bCs/>
                <w:i/>
                <w:iCs/>
                <w:sz w:val="20"/>
                <w:lang w:val="en-GB" w:eastAsia="en-GB"/>
              </w:rPr>
              <w:t>Cohort B</w:t>
            </w:r>
            <w:r w:rsidRPr="00413BC4">
              <w:rPr>
                <w:b/>
                <w:bCs/>
                <w:i/>
                <w:iCs/>
                <w:sz w:val="20"/>
                <w:lang w:val="en-GB" w:eastAsia="en-GB"/>
              </w:rPr>
              <w:br/>
              <w:t>February Start</w:t>
            </w:r>
          </w:p>
        </w:tc>
        <w:tc>
          <w:tcPr>
            <w:tcW w:w="142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360" w:type="dxa"/>
            <w:tcBorders>
              <w:top w:val="nil"/>
              <w:left w:val="single" w:sz="8" w:space="0" w:color="000000"/>
              <w:bottom w:val="single" w:sz="8" w:space="0" w:color="auto"/>
              <w:right w:val="single" w:sz="8" w:space="0" w:color="auto"/>
            </w:tcBorders>
            <w:shd w:val="clear" w:color="000000" w:fill="FF0000"/>
            <w:vAlign w:val="center"/>
            <w:hideMark/>
          </w:tcPr>
          <w:p w:rsidR="007600EB" w:rsidRPr="00413BC4" w:rsidRDefault="007600EB" w:rsidP="007600EB">
            <w:pPr>
              <w:rPr>
                <w:b/>
                <w:bCs/>
                <w:sz w:val="20"/>
                <w:lang w:val="en-GB" w:eastAsia="en-GB"/>
              </w:rPr>
            </w:pPr>
            <w:r w:rsidRPr="00413BC4">
              <w:rPr>
                <w:b/>
                <w:bCs/>
                <w:sz w:val="20"/>
                <w:lang w:val="en-GB" w:eastAsia="en-GB"/>
              </w:rPr>
              <w:t>Module 2</w:t>
            </w:r>
          </w:p>
        </w:tc>
        <w:tc>
          <w:tcPr>
            <w:tcW w:w="280" w:type="dxa"/>
            <w:tcBorders>
              <w:top w:val="nil"/>
              <w:left w:val="nil"/>
              <w:bottom w:val="nil"/>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nil"/>
              <w:left w:val="single" w:sz="8" w:space="0" w:color="auto"/>
              <w:bottom w:val="single" w:sz="8" w:space="0" w:color="auto"/>
              <w:right w:val="single" w:sz="8" w:space="0" w:color="auto"/>
            </w:tcBorders>
            <w:shd w:val="clear" w:color="000000" w:fill="E6B8B7"/>
            <w:vAlign w:val="center"/>
            <w:hideMark/>
          </w:tcPr>
          <w:p w:rsidR="007600EB" w:rsidRPr="00413BC4" w:rsidRDefault="007600EB" w:rsidP="007600EB">
            <w:pPr>
              <w:rPr>
                <w:b/>
                <w:bCs/>
                <w:sz w:val="20"/>
                <w:lang w:val="en-GB" w:eastAsia="en-GB"/>
              </w:rPr>
            </w:pPr>
            <w:r w:rsidRPr="00413BC4">
              <w:rPr>
                <w:b/>
                <w:bCs/>
                <w:sz w:val="20"/>
                <w:lang w:val="en-GB" w:eastAsia="en-GB"/>
              </w:rPr>
              <w:t>Module 1</w:t>
            </w:r>
          </w:p>
        </w:tc>
        <w:tc>
          <w:tcPr>
            <w:tcW w:w="1501" w:type="dxa"/>
            <w:tcBorders>
              <w:top w:val="single" w:sz="8" w:space="0" w:color="auto"/>
              <w:left w:val="nil"/>
              <w:bottom w:val="nil"/>
              <w:right w:val="single" w:sz="8" w:space="0" w:color="auto"/>
            </w:tcBorders>
            <w:shd w:val="clear" w:color="000000" w:fill="FF9900"/>
            <w:vAlign w:val="center"/>
            <w:hideMark/>
          </w:tcPr>
          <w:p w:rsidR="007600EB" w:rsidRPr="00413BC4" w:rsidRDefault="007600EB" w:rsidP="007600EB">
            <w:pPr>
              <w:rPr>
                <w:b/>
                <w:bCs/>
                <w:sz w:val="20"/>
                <w:lang w:val="en-GB" w:eastAsia="en-GB"/>
              </w:rPr>
            </w:pPr>
            <w:r w:rsidRPr="00413BC4">
              <w:rPr>
                <w:b/>
                <w:bCs/>
                <w:sz w:val="20"/>
                <w:lang w:val="en-GB" w:eastAsia="en-GB"/>
              </w:rPr>
              <w:t>Module 6</w:t>
            </w:r>
          </w:p>
        </w:tc>
        <w:tc>
          <w:tcPr>
            <w:tcW w:w="236" w:type="dxa"/>
            <w:tcBorders>
              <w:top w:val="nil"/>
              <w:left w:val="nil"/>
              <w:bottom w:val="nil"/>
              <w:right w:val="nil"/>
            </w:tcBorders>
            <w:shd w:val="clear" w:color="auto" w:fill="auto"/>
            <w:vAlign w:val="center"/>
            <w:hideMark/>
          </w:tcPr>
          <w:p w:rsidR="007600EB" w:rsidRPr="00413BC4" w:rsidRDefault="007600EB" w:rsidP="007600EB">
            <w:pPr>
              <w:rPr>
                <w:b/>
                <w:bCs/>
                <w:sz w:val="20"/>
                <w:lang w:val="en-GB" w:eastAsia="en-GB"/>
              </w:rPr>
            </w:pPr>
          </w:p>
        </w:tc>
        <w:tc>
          <w:tcPr>
            <w:tcW w:w="1384" w:type="dxa"/>
            <w:tcBorders>
              <w:top w:val="single" w:sz="8" w:space="0" w:color="auto"/>
              <w:left w:val="single" w:sz="8" w:space="0" w:color="auto"/>
              <w:bottom w:val="single" w:sz="8" w:space="0" w:color="auto"/>
              <w:right w:val="single" w:sz="8" w:space="0" w:color="auto"/>
            </w:tcBorders>
            <w:shd w:val="clear" w:color="000000" w:fill="DAEEF3"/>
            <w:vAlign w:val="center"/>
            <w:hideMark/>
          </w:tcPr>
          <w:p w:rsidR="007600EB" w:rsidRPr="00413BC4" w:rsidRDefault="007600EB" w:rsidP="007600EB">
            <w:pPr>
              <w:rPr>
                <w:b/>
                <w:bCs/>
                <w:sz w:val="20"/>
                <w:lang w:val="en-GB" w:eastAsia="en-GB"/>
              </w:rPr>
            </w:pPr>
            <w:r w:rsidRPr="00413BC4">
              <w:rPr>
                <w:b/>
                <w:bCs/>
                <w:sz w:val="20"/>
                <w:lang w:val="en-GB" w:eastAsia="en-GB"/>
              </w:rPr>
              <w:t>Module 5</w:t>
            </w:r>
          </w:p>
        </w:tc>
      </w:tr>
      <w:tr w:rsidR="007600EB" w:rsidRPr="00413BC4" w:rsidTr="007600EB">
        <w:trPr>
          <w:trHeight w:val="915"/>
        </w:trPr>
        <w:tc>
          <w:tcPr>
            <w:tcW w:w="1083" w:type="dxa"/>
            <w:vMerge/>
            <w:tcBorders>
              <w:top w:val="nil"/>
              <w:left w:val="single" w:sz="8" w:space="0" w:color="auto"/>
              <w:bottom w:val="single" w:sz="8" w:space="0" w:color="000000"/>
              <w:right w:val="single" w:sz="8" w:space="0" w:color="auto"/>
            </w:tcBorders>
            <w:vAlign w:val="center"/>
            <w:hideMark/>
          </w:tcPr>
          <w:p w:rsidR="007600EB" w:rsidRPr="00413BC4" w:rsidRDefault="007600EB" w:rsidP="007600EB">
            <w:pPr>
              <w:rPr>
                <w:b/>
                <w:bCs/>
                <w:i/>
                <w:iCs/>
                <w:sz w:val="20"/>
                <w:lang w:val="en-GB" w:eastAsia="en-GB"/>
              </w:rPr>
            </w:pPr>
          </w:p>
        </w:tc>
        <w:tc>
          <w:tcPr>
            <w:tcW w:w="1420" w:type="dxa"/>
            <w:tcBorders>
              <w:top w:val="nil"/>
              <w:left w:val="nil"/>
              <w:bottom w:val="single" w:sz="4" w:space="0" w:color="auto"/>
              <w:right w:val="nil"/>
            </w:tcBorders>
            <w:shd w:val="clear" w:color="auto" w:fill="auto"/>
            <w:noWrap/>
            <w:vAlign w:val="center"/>
            <w:hideMark/>
          </w:tcPr>
          <w:p w:rsidR="007600EB" w:rsidRPr="00413BC4" w:rsidRDefault="007600EB" w:rsidP="007600EB">
            <w:pPr>
              <w:rPr>
                <w:b/>
                <w:bCs/>
                <w:sz w:val="20"/>
                <w:lang w:val="en-GB" w:eastAsia="en-GB"/>
              </w:rPr>
            </w:pPr>
          </w:p>
        </w:tc>
        <w:tc>
          <w:tcPr>
            <w:tcW w:w="1360" w:type="dxa"/>
            <w:tcBorders>
              <w:top w:val="nil"/>
              <w:left w:val="single" w:sz="8" w:space="0" w:color="auto"/>
              <w:bottom w:val="single" w:sz="8" w:space="0" w:color="auto"/>
              <w:right w:val="single" w:sz="8" w:space="0" w:color="auto"/>
            </w:tcBorders>
            <w:shd w:val="clear" w:color="000000" w:fill="EBF1DE"/>
            <w:vAlign w:val="center"/>
            <w:hideMark/>
          </w:tcPr>
          <w:p w:rsidR="007600EB" w:rsidRPr="00413BC4" w:rsidRDefault="007600EB" w:rsidP="007600EB">
            <w:pPr>
              <w:rPr>
                <w:b/>
                <w:bCs/>
                <w:sz w:val="20"/>
                <w:lang w:val="en-GB" w:eastAsia="en-GB"/>
              </w:rPr>
            </w:pPr>
            <w:r w:rsidRPr="00413BC4">
              <w:rPr>
                <w:b/>
                <w:bCs/>
                <w:sz w:val="20"/>
                <w:lang w:val="en-GB" w:eastAsia="en-GB"/>
              </w:rPr>
              <w:t>Module 4</w:t>
            </w:r>
          </w:p>
        </w:tc>
        <w:tc>
          <w:tcPr>
            <w:tcW w:w="280" w:type="dxa"/>
            <w:tcBorders>
              <w:top w:val="nil"/>
              <w:left w:val="nil"/>
              <w:bottom w:val="single" w:sz="8" w:space="0" w:color="auto"/>
              <w:right w:val="nil"/>
            </w:tcBorders>
            <w:shd w:val="clear" w:color="auto" w:fill="auto"/>
            <w:noWrap/>
            <w:vAlign w:val="center"/>
            <w:hideMark/>
          </w:tcPr>
          <w:p w:rsidR="007600EB" w:rsidRPr="00413BC4" w:rsidRDefault="007600EB" w:rsidP="007600EB">
            <w:pPr>
              <w:rPr>
                <w:sz w:val="20"/>
                <w:lang w:val="en-GB" w:eastAsia="en-GB"/>
              </w:rPr>
            </w:pPr>
          </w:p>
        </w:tc>
        <w:tc>
          <w:tcPr>
            <w:tcW w:w="1560" w:type="dxa"/>
            <w:tcBorders>
              <w:top w:val="nil"/>
              <w:left w:val="single" w:sz="8" w:space="0" w:color="auto"/>
              <w:bottom w:val="single" w:sz="8" w:space="0" w:color="auto"/>
              <w:right w:val="single" w:sz="8" w:space="0" w:color="auto"/>
            </w:tcBorders>
            <w:shd w:val="clear" w:color="000000" w:fill="C4BD97"/>
            <w:vAlign w:val="center"/>
            <w:hideMark/>
          </w:tcPr>
          <w:p w:rsidR="007600EB" w:rsidRPr="00413BC4" w:rsidRDefault="007600EB" w:rsidP="007600EB">
            <w:pPr>
              <w:rPr>
                <w:b/>
                <w:bCs/>
                <w:sz w:val="20"/>
                <w:lang w:val="en-GB" w:eastAsia="en-GB"/>
              </w:rPr>
            </w:pPr>
            <w:r w:rsidRPr="00413BC4">
              <w:rPr>
                <w:b/>
                <w:bCs/>
                <w:sz w:val="20"/>
                <w:lang w:val="en-GB" w:eastAsia="en-GB"/>
              </w:rPr>
              <w:t>Module 3</w:t>
            </w:r>
          </w:p>
        </w:tc>
        <w:tc>
          <w:tcPr>
            <w:tcW w:w="1501" w:type="dxa"/>
            <w:tcBorders>
              <w:top w:val="single" w:sz="8" w:space="0" w:color="auto"/>
              <w:left w:val="nil"/>
              <w:bottom w:val="single" w:sz="8" w:space="0" w:color="auto"/>
              <w:right w:val="single" w:sz="8" w:space="0" w:color="auto"/>
            </w:tcBorders>
            <w:shd w:val="clear" w:color="000000" w:fill="C0C0C0"/>
            <w:vAlign w:val="center"/>
            <w:hideMark/>
          </w:tcPr>
          <w:p w:rsidR="007600EB" w:rsidRPr="00413BC4" w:rsidRDefault="007600EB" w:rsidP="007600EB">
            <w:pPr>
              <w:rPr>
                <w:b/>
                <w:bCs/>
                <w:sz w:val="20"/>
                <w:lang w:val="en-GB" w:eastAsia="en-GB"/>
              </w:rPr>
            </w:pPr>
            <w:r w:rsidRPr="00413BC4">
              <w:rPr>
                <w:b/>
                <w:bCs/>
                <w:sz w:val="20"/>
                <w:lang w:val="en-GB" w:eastAsia="en-GB"/>
              </w:rPr>
              <w:t xml:space="preserve">Dissertation </w:t>
            </w:r>
          </w:p>
        </w:tc>
        <w:tc>
          <w:tcPr>
            <w:tcW w:w="1620" w:type="dxa"/>
            <w:gridSpan w:val="2"/>
            <w:tcBorders>
              <w:top w:val="single" w:sz="8" w:space="0" w:color="auto"/>
              <w:left w:val="nil"/>
              <w:bottom w:val="single" w:sz="8" w:space="0" w:color="auto"/>
              <w:right w:val="single" w:sz="8" w:space="0" w:color="000000"/>
            </w:tcBorders>
            <w:shd w:val="clear" w:color="000000" w:fill="C0C0C0"/>
            <w:noWrap/>
            <w:vAlign w:val="center"/>
            <w:hideMark/>
          </w:tcPr>
          <w:p w:rsidR="007600EB" w:rsidRPr="00413BC4" w:rsidRDefault="007600EB" w:rsidP="007600EB">
            <w:pPr>
              <w:rPr>
                <w:b/>
                <w:bCs/>
                <w:sz w:val="20"/>
                <w:lang w:val="en-GB" w:eastAsia="en-GB"/>
              </w:rPr>
            </w:pPr>
            <w:r w:rsidRPr="00413BC4">
              <w:rPr>
                <w:b/>
                <w:bCs/>
                <w:sz w:val="20"/>
                <w:lang w:val="en-GB" w:eastAsia="en-GB"/>
              </w:rPr>
              <w:t xml:space="preserve">Dissertation </w:t>
            </w:r>
          </w:p>
        </w:tc>
      </w:tr>
    </w:tbl>
    <w:p w:rsidR="007600EB" w:rsidRPr="00413BC4" w:rsidRDefault="007600EB" w:rsidP="00367A8B">
      <w:pPr>
        <w:pStyle w:val="Heading5"/>
        <w:rPr>
          <w:lang w:val="en-GB"/>
        </w:rPr>
      </w:pPr>
      <w:r w:rsidRPr="00413BC4">
        <w:rPr>
          <w:lang w:val="en-GB"/>
        </w:rPr>
        <w:t>Fig 1.  Course Structure.</w:t>
      </w:r>
    </w:p>
    <w:p w:rsidR="007600EB" w:rsidRPr="00413BC4" w:rsidRDefault="00367A8B" w:rsidP="007600EB">
      <w:pPr>
        <w:rPr>
          <w:lang w:val="en-GB"/>
        </w:rPr>
      </w:pPr>
      <w:r>
        <w:rPr>
          <w:lang w:val="en-GB"/>
        </w:rPr>
        <w:br/>
      </w:r>
      <w:r w:rsidR="007600EB" w:rsidRPr="00413BC4">
        <w:rPr>
          <w:lang w:val="en-GB"/>
        </w:rPr>
        <w:t>In the following tables, variables are shaded.</w:t>
      </w:r>
    </w:p>
    <w:p w:rsidR="00463A39" w:rsidRDefault="007600EB" w:rsidP="00463A39">
      <w:pPr>
        <w:pStyle w:val="Heading4"/>
        <w:rPr>
          <w:lang w:val="en-GB"/>
        </w:rPr>
      </w:pPr>
      <w:r w:rsidRPr="00413BC4">
        <w:rPr>
          <w:lang w:val="en-GB"/>
        </w:rPr>
        <w:t>Income periods</w:t>
      </w:r>
    </w:p>
    <w:p w:rsidR="007600EB" w:rsidRDefault="007600EB" w:rsidP="007600EB">
      <w:pPr>
        <w:rPr>
          <w:lang w:val="en-GB"/>
        </w:rPr>
      </w:pPr>
      <w:r w:rsidRPr="00413BC4">
        <w:rPr>
          <w:lang w:val="en-GB"/>
        </w:rPr>
        <w:t>Income comes from two cohorts per annum, in September, and in February.  For ease of explanation, the model assumes that all income is received in arrears at the end of the University year.</w:t>
      </w:r>
    </w:p>
    <w:p w:rsidR="00367A8B" w:rsidRPr="00413BC4" w:rsidRDefault="00367A8B" w:rsidP="00952F98">
      <w:pPr>
        <w:pStyle w:val="Heading7"/>
        <w:rPr>
          <w:lang w:val="en-GB"/>
        </w:rPr>
      </w:pPr>
      <w:r w:rsidRPr="00413BC4">
        <w:rPr>
          <w:lang w:val="en-GB"/>
        </w:rPr>
        <w:t>Expenditure</w:t>
      </w:r>
    </w:p>
    <w:p w:rsidR="00463A39" w:rsidRDefault="00367A8B" w:rsidP="00463A39">
      <w:pPr>
        <w:pStyle w:val="Heading4"/>
        <w:rPr>
          <w:lang w:val="en-GB"/>
        </w:rPr>
      </w:pPr>
      <w:r w:rsidRPr="00413BC4">
        <w:rPr>
          <w:lang w:val="en-GB"/>
        </w:rPr>
        <w:t>Fixed costs</w:t>
      </w:r>
    </w:p>
    <w:p w:rsidR="00367A8B" w:rsidRPr="00413BC4" w:rsidRDefault="00367A8B" w:rsidP="00367A8B">
      <w:pPr>
        <w:rPr>
          <w:lang w:val="en-GB"/>
        </w:rPr>
      </w:pPr>
      <w:r w:rsidRPr="00413BC4">
        <w:rPr>
          <w:lang w:val="en-GB"/>
        </w:rPr>
        <w:t xml:space="preserve">Module development costs, 3 new modules to be developed.   This first analysis uses costs from the low end of the cost spectrum as a best-case scenario.  Online tutorials: 2 </w:t>
      </w:r>
      <w:r w:rsidR="0055157A">
        <w:rPr>
          <w:lang w:val="en-GB"/>
        </w:rPr>
        <w:t xml:space="preserve">No. </w:t>
      </w:r>
      <w:r w:rsidRPr="00413BC4">
        <w:rPr>
          <w:lang w:val="en-GB"/>
        </w:rPr>
        <w:t xml:space="preserve">½ hr. tutorials per module are specified.  Students take 3 modules in the first year and 2 modules in the second year.  For convenience, assume 3 modules pa across the course, i.e. 6 hours per semester.  This does not vary with the number of students.  </w:t>
      </w:r>
    </w:p>
    <w:p w:rsidR="00463A39" w:rsidRDefault="00367A8B" w:rsidP="00463A39">
      <w:pPr>
        <w:pStyle w:val="Heading4"/>
        <w:rPr>
          <w:lang w:val="en-GB"/>
        </w:rPr>
      </w:pPr>
      <w:r w:rsidRPr="00413BC4">
        <w:rPr>
          <w:lang w:val="en-GB"/>
        </w:rPr>
        <w:t>Variable Costs</w:t>
      </w:r>
    </w:p>
    <w:p w:rsidR="00367A8B" w:rsidRPr="00413BC4" w:rsidRDefault="00367A8B" w:rsidP="00367A8B">
      <w:pPr>
        <w:rPr>
          <w:lang w:val="en-GB"/>
        </w:rPr>
      </w:pPr>
      <w:r w:rsidRPr="00413BC4">
        <w:rPr>
          <w:lang w:val="en-GB"/>
        </w:rPr>
        <w:t xml:space="preserve">One to One student support and tuition = 2 hrs. per student per module.  Again, calculations are based on 3 modules consistently; therefore, one to one student support = (total no of students X 3 </w:t>
      </w:r>
      <w:r w:rsidRPr="00413BC4">
        <w:rPr>
          <w:lang w:val="en-GB"/>
        </w:rPr>
        <w:lastRenderedPageBreak/>
        <w:t xml:space="preserve">modules X 2 hours X academic hourly rate) = total no of students X 6 X hourly rate.  This figure of 2 hours is an average based on historic data from the author’s experience and may be varied.       </w:t>
      </w:r>
    </w:p>
    <w:p w:rsidR="00367A8B" w:rsidRPr="00413BC4" w:rsidRDefault="00367A8B" w:rsidP="00367A8B">
      <w:pPr>
        <w:rPr>
          <w:lang w:val="en-GB"/>
        </w:rPr>
      </w:pPr>
      <w:r w:rsidRPr="00413BC4">
        <w:rPr>
          <w:lang w:val="en-GB"/>
        </w:rPr>
        <w:t xml:space="preserve">The programme specifies 2 assessments per module.  1 hour marking each assessment is from the UK Open University and the Open University Associate Lecturers newsletter </w:t>
      </w:r>
      <w:r w:rsidRPr="00413BC4">
        <w:rPr>
          <w:noProof/>
          <w:lang w:val="en-GB"/>
        </w:rPr>
        <w:t>(Newsletter, 2010)</w:t>
      </w:r>
      <w:r w:rsidRPr="00413BC4">
        <w:rPr>
          <w:lang w:val="en-GB"/>
        </w:rPr>
        <w:t>.  Again, assume 4 modules consistently (balancing the 3 modules in the previous cost).  Therefore, cost = (total no of students X 4 modules X 2 points of assessment X 1 hour X academic hourly rate).</w:t>
      </w:r>
    </w:p>
    <w:p w:rsidR="007600EB" w:rsidRDefault="007600EB" w:rsidP="00367A8B">
      <w:pPr>
        <w:pStyle w:val="Heading5"/>
        <w:rPr>
          <w:lang w:val="en-GB"/>
        </w:rPr>
      </w:pPr>
      <w:r w:rsidRPr="00413BC4">
        <w:rPr>
          <w:lang w:val="en-GB"/>
        </w:rPr>
        <w:t>Table 2</w:t>
      </w:r>
    </w:p>
    <w:p w:rsidR="007600EB" w:rsidRPr="002F0C54" w:rsidRDefault="007600EB" w:rsidP="00367A8B">
      <w:pPr>
        <w:pStyle w:val="Heading5"/>
        <w:rPr>
          <w:sz w:val="18"/>
          <w:szCs w:val="18"/>
          <w:lang w:val="en-GB"/>
        </w:rPr>
      </w:pPr>
      <w:r w:rsidRPr="00413BC4">
        <w:rPr>
          <w:lang w:val="en-GB"/>
        </w:rPr>
        <w:t xml:space="preserve">Income, Semesters 1 – 11.  </w:t>
      </w:r>
      <w:r>
        <w:rPr>
          <w:lang w:val="en-GB"/>
        </w:rPr>
        <w:br/>
      </w:r>
      <w:r w:rsidRPr="002F0C54">
        <w:rPr>
          <w:sz w:val="18"/>
          <w:szCs w:val="18"/>
          <w:lang w:val="en-GB"/>
        </w:rPr>
        <w:t>From semester 3 onwards all modules are developed and being delivered</w:t>
      </w:r>
    </w:p>
    <w:tbl>
      <w:tblPr>
        <w:tblW w:w="8654" w:type="dxa"/>
        <w:jc w:val="center"/>
        <w:tblLook w:val="04A0" w:firstRow="1" w:lastRow="0" w:firstColumn="1" w:lastColumn="0" w:noHBand="0" w:noVBand="1"/>
      </w:tblPr>
      <w:tblGrid>
        <w:gridCol w:w="1020"/>
        <w:gridCol w:w="1114"/>
        <w:gridCol w:w="1114"/>
        <w:gridCol w:w="1381"/>
        <w:gridCol w:w="760"/>
        <w:gridCol w:w="1140"/>
        <w:gridCol w:w="993"/>
        <w:gridCol w:w="1132"/>
      </w:tblGrid>
      <w:tr w:rsidR="007600EB" w:rsidRPr="00413BC4" w:rsidTr="00463A39">
        <w:trPr>
          <w:trHeight w:val="315"/>
          <w:jc w:val="center"/>
        </w:trPr>
        <w:tc>
          <w:tcPr>
            <w:tcW w:w="8640" w:type="dxa"/>
            <w:gridSpan w:val="8"/>
            <w:tcBorders>
              <w:top w:val="single" w:sz="4" w:space="0" w:color="auto"/>
              <w:left w:val="single" w:sz="4" w:space="0" w:color="auto"/>
              <w:bottom w:val="nil"/>
              <w:right w:val="single" w:sz="4" w:space="0" w:color="auto"/>
            </w:tcBorders>
            <w:shd w:val="clear" w:color="000000" w:fill="EEECE1"/>
            <w:vAlign w:val="center"/>
            <w:hideMark/>
          </w:tcPr>
          <w:p w:rsidR="007600EB" w:rsidRPr="00463A39" w:rsidRDefault="007600EB" w:rsidP="007600EB">
            <w:pPr>
              <w:rPr>
                <w:rFonts w:ascii="Arial" w:hAnsi="Arial" w:cs="Arial"/>
                <w:b/>
                <w:sz w:val="16"/>
                <w:szCs w:val="16"/>
                <w:lang w:val="en-GB" w:eastAsia="en-GB"/>
              </w:rPr>
            </w:pPr>
            <w:r w:rsidRPr="00463A39">
              <w:rPr>
                <w:sz w:val="16"/>
                <w:szCs w:val="16"/>
                <w:lang w:val="en-GB"/>
              </w:rPr>
              <w:br w:type="page"/>
            </w:r>
            <w:r w:rsidR="001A138F" w:rsidRPr="00463A39">
              <w:rPr>
                <w:rFonts w:ascii="Arial" w:hAnsi="Arial" w:cs="Arial"/>
                <w:b/>
                <w:sz w:val="16"/>
                <w:szCs w:val="16"/>
                <w:lang w:val="en-GB" w:eastAsia="en-GB"/>
              </w:rPr>
              <w:t>Income</w:t>
            </w:r>
          </w:p>
        </w:tc>
      </w:tr>
      <w:tr w:rsidR="007600EB" w:rsidRPr="00413BC4" w:rsidTr="00463A39">
        <w:trPr>
          <w:trHeight w:val="576"/>
          <w:jc w:val="center"/>
        </w:trPr>
        <w:tc>
          <w:tcPr>
            <w:tcW w:w="8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600EB" w:rsidRPr="00463A39" w:rsidRDefault="00952F98" w:rsidP="007600EB">
            <w:pPr>
              <w:rPr>
                <w:rFonts w:ascii="Arial" w:hAnsi="Arial" w:cs="Arial"/>
                <w:b/>
                <w:sz w:val="16"/>
                <w:szCs w:val="16"/>
                <w:lang w:val="en-GB" w:eastAsia="en-GB"/>
              </w:rPr>
            </w:pPr>
            <w:r w:rsidRPr="00463A39">
              <w:rPr>
                <w:rFonts w:ascii="Arial" w:hAnsi="Arial" w:cs="Arial"/>
                <w:b/>
                <w:sz w:val="16"/>
                <w:szCs w:val="16"/>
                <w:lang w:val="en-GB" w:eastAsia="en-GB"/>
              </w:rPr>
              <w:t>Module Fee</w:t>
            </w:r>
          </w:p>
        </w:tc>
        <w:tc>
          <w:tcPr>
            <w:tcW w:w="8640" w:type="dxa"/>
            <w:tcBorders>
              <w:top w:val="single" w:sz="8" w:space="0" w:color="auto"/>
              <w:left w:val="nil"/>
              <w:bottom w:val="single" w:sz="4" w:space="0" w:color="auto"/>
              <w:right w:val="single" w:sz="4" w:space="0" w:color="auto"/>
            </w:tcBorders>
            <w:shd w:val="clear" w:color="000000" w:fill="B7DEE8"/>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£1,000</w:t>
            </w:r>
          </w:p>
        </w:tc>
        <w:tc>
          <w:tcPr>
            <w:tcW w:w="8640" w:type="dxa"/>
            <w:tcBorders>
              <w:top w:val="single" w:sz="8" w:space="0" w:color="auto"/>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c>
          <w:tcPr>
            <w:tcW w:w="8640" w:type="dxa"/>
            <w:tcBorders>
              <w:top w:val="single" w:sz="8" w:space="0" w:color="auto"/>
              <w:left w:val="nil"/>
              <w:bottom w:val="single" w:sz="4" w:space="0" w:color="auto"/>
              <w:right w:val="single" w:sz="4" w:space="0" w:color="auto"/>
            </w:tcBorders>
            <w:shd w:val="clear" w:color="auto" w:fill="auto"/>
            <w:vAlign w:val="center"/>
            <w:hideMark/>
          </w:tcPr>
          <w:p w:rsidR="007600EB" w:rsidRPr="00463A39" w:rsidRDefault="00952F98" w:rsidP="001A138F">
            <w:pPr>
              <w:jc w:val="center"/>
              <w:rPr>
                <w:rFonts w:ascii="Arial" w:hAnsi="Arial" w:cs="Arial"/>
                <w:b/>
                <w:sz w:val="16"/>
                <w:szCs w:val="16"/>
                <w:lang w:val="en-GB" w:eastAsia="en-GB"/>
              </w:rPr>
            </w:pPr>
            <w:r w:rsidRPr="00463A39">
              <w:rPr>
                <w:rFonts w:ascii="Arial" w:hAnsi="Arial" w:cs="Arial"/>
                <w:b/>
                <w:sz w:val="16"/>
                <w:szCs w:val="16"/>
                <w:lang w:val="en-GB" w:eastAsia="en-GB"/>
              </w:rPr>
              <w:t xml:space="preserve">Contribution </w:t>
            </w:r>
            <w:r w:rsidR="001A138F" w:rsidRPr="00463A39">
              <w:rPr>
                <w:rFonts w:ascii="Arial" w:hAnsi="Arial" w:cs="Arial"/>
                <w:b/>
                <w:sz w:val="16"/>
                <w:szCs w:val="16"/>
                <w:lang w:val="en-GB" w:eastAsia="en-GB"/>
              </w:rPr>
              <w:br/>
              <w:t>t</w:t>
            </w:r>
            <w:r w:rsidRPr="00463A39">
              <w:rPr>
                <w:rFonts w:ascii="Arial" w:hAnsi="Arial" w:cs="Arial"/>
                <w:b/>
                <w:sz w:val="16"/>
                <w:szCs w:val="16"/>
                <w:lang w:val="en-GB" w:eastAsia="en-GB"/>
              </w:rPr>
              <w:t>o Central Overheads</w:t>
            </w:r>
          </w:p>
        </w:tc>
        <w:tc>
          <w:tcPr>
            <w:tcW w:w="8640" w:type="dxa"/>
            <w:tcBorders>
              <w:top w:val="single" w:sz="8" w:space="0" w:color="auto"/>
              <w:left w:val="nil"/>
              <w:bottom w:val="single" w:sz="4" w:space="0" w:color="auto"/>
              <w:right w:val="single" w:sz="4" w:space="0" w:color="auto"/>
            </w:tcBorders>
            <w:shd w:val="clear" w:color="000000" w:fill="B7DEE8"/>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40%</w:t>
            </w:r>
          </w:p>
        </w:tc>
        <w:tc>
          <w:tcPr>
            <w:tcW w:w="8640" w:type="dxa"/>
            <w:tcBorders>
              <w:top w:val="single" w:sz="8" w:space="0" w:color="auto"/>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c>
          <w:tcPr>
            <w:tcW w:w="8640" w:type="dxa"/>
            <w:tcBorders>
              <w:top w:val="single" w:sz="8" w:space="0" w:color="auto"/>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c>
          <w:tcPr>
            <w:tcW w:w="8640" w:type="dxa"/>
            <w:tcBorders>
              <w:top w:val="single" w:sz="8" w:space="0" w:color="auto"/>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r>
      <w:tr w:rsidR="007600EB" w:rsidRPr="00413BC4" w:rsidTr="00463A39">
        <w:trPr>
          <w:trHeight w:val="593"/>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952F98" w:rsidP="007600EB">
            <w:pPr>
              <w:rPr>
                <w:rFonts w:ascii="Arial" w:hAnsi="Arial" w:cs="Arial"/>
                <w:b/>
                <w:sz w:val="16"/>
                <w:szCs w:val="16"/>
                <w:lang w:val="en-GB" w:eastAsia="en-GB"/>
              </w:rPr>
            </w:pPr>
            <w:r w:rsidRPr="00463A39">
              <w:rPr>
                <w:rFonts w:ascii="Arial" w:hAnsi="Arial" w:cs="Arial"/>
                <w:b/>
                <w:sz w:val="16"/>
                <w:szCs w:val="16"/>
                <w:lang w:val="en-GB" w:eastAsia="en-GB"/>
              </w:rPr>
              <w:t>Period</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55157A" w:rsidP="007600EB">
            <w:pPr>
              <w:jc w:val="center"/>
              <w:rPr>
                <w:rFonts w:ascii="Arial" w:hAnsi="Arial" w:cs="Arial"/>
                <w:b/>
                <w:sz w:val="16"/>
                <w:szCs w:val="16"/>
                <w:lang w:val="en-GB" w:eastAsia="en-GB"/>
              </w:rPr>
            </w:pPr>
            <w:r>
              <w:rPr>
                <w:rFonts w:ascii="Arial" w:hAnsi="Arial" w:cs="Arial"/>
                <w:b/>
                <w:sz w:val="16"/>
                <w:szCs w:val="16"/>
                <w:lang w:val="en-GB" w:eastAsia="en-GB"/>
              </w:rPr>
              <w:t xml:space="preserve">No. </w:t>
            </w:r>
            <w:r w:rsidR="00952F98" w:rsidRPr="00463A39">
              <w:rPr>
                <w:rFonts w:ascii="Arial" w:hAnsi="Arial" w:cs="Arial"/>
                <w:b/>
                <w:sz w:val="16"/>
                <w:szCs w:val="16"/>
                <w:lang w:val="en-GB" w:eastAsia="en-GB"/>
              </w:rPr>
              <w:t>New Students</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 xml:space="preserve">Total </w:t>
            </w:r>
            <w:r w:rsidR="0055157A">
              <w:rPr>
                <w:rFonts w:ascii="Arial" w:hAnsi="Arial" w:cs="Arial"/>
                <w:b/>
                <w:sz w:val="16"/>
                <w:szCs w:val="16"/>
                <w:lang w:val="en-GB" w:eastAsia="en-GB"/>
              </w:rPr>
              <w:t xml:space="preserve">No. </w:t>
            </w:r>
            <w:r w:rsidRPr="00463A39">
              <w:rPr>
                <w:rFonts w:ascii="Arial" w:hAnsi="Arial" w:cs="Arial"/>
                <w:b/>
                <w:sz w:val="16"/>
                <w:szCs w:val="16"/>
                <w:lang w:val="en-GB" w:eastAsia="en-GB"/>
              </w:rPr>
              <w:br/>
              <w:t>Students</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Notes</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rFonts w:ascii="Arial" w:hAnsi="Arial" w:cs="Arial"/>
                <w:b/>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Gross Income</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952F98" w:rsidP="007600EB">
            <w:pPr>
              <w:jc w:val="center"/>
              <w:rPr>
                <w:rFonts w:ascii="Arial" w:hAnsi="Arial" w:cs="Arial"/>
                <w:b/>
                <w:sz w:val="16"/>
                <w:szCs w:val="16"/>
                <w:lang w:val="en-GB" w:eastAsia="en-GB"/>
              </w:rPr>
            </w:pPr>
            <w:r w:rsidRPr="00463A39">
              <w:rPr>
                <w:rFonts w:ascii="Arial" w:hAnsi="Arial" w:cs="Arial"/>
                <w:b/>
                <w:sz w:val="16"/>
                <w:szCs w:val="16"/>
                <w:lang w:val="en-GB" w:eastAsia="en-GB"/>
              </w:rPr>
              <w:t>Net Income</w:t>
            </w:r>
          </w:p>
        </w:tc>
      </w:tr>
      <w:tr w:rsidR="007600EB" w:rsidRPr="00413BC4" w:rsidTr="00463A39">
        <w:trPr>
          <w:trHeight w:val="864"/>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367A8B">
            <w:pPr>
              <w:rPr>
                <w:sz w:val="16"/>
                <w:szCs w:val="16"/>
                <w:lang w:val="en-GB" w:eastAsia="en-GB"/>
              </w:rPr>
            </w:pPr>
            <w:r w:rsidRPr="00463A39">
              <w:rPr>
                <w:sz w:val="16"/>
                <w:szCs w:val="16"/>
                <w:lang w:val="en-GB" w:eastAsia="en-GB"/>
              </w:rPr>
              <w:t>Semester</w:t>
            </w:r>
            <w:r w:rsidR="00367A8B" w:rsidRPr="00463A39">
              <w:rPr>
                <w:sz w:val="16"/>
                <w:szCs w:val="16"/>
                <w:lang w:val="en-GB" w:eastAsia="en-GB"/>
              </w:rPr>
              <w:t xml:space="preserve"> </w:t>
            </w:r>
            <w:r w:rsidRPr="00463A39">
              <w:rPr>
                <w:sz w:val="16"/>
                <w:szCs w:val="16"/>
                <w:lang w:val="en-GB" w:eastAsia="en-GB"/>
              </w:rPr>
              <w:t>1</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New students take</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modules in the first semester</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£15,000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£9,000</w:t>
            </w:r>
          </w:p>
        </w:tc>
      </w:tr>
      <w:tr w:rsidR="007600EB" w:rsidRPr="00413BC4" w:rsidTr="00463A39">
        <w:trPr>
          <w:trHeight w:val="1152"/>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367A8B">
            <w:pPr>
              <w:rPr>
                <w:sz w:val="16"/>
                <w:szCs w:val="16"/>
                <w:lang w:val="en-GB" w:eastAsia="en-GB"/>
              </w:rPr>
            </w:pPr>
            <w:r w:rsidRPr="00463A39">
              <w:rPr>
                <w:sz w:val="16"/>
                <w:szCs w:val="16"/>
                <w:lang w:val="en-GB" w:eastAsia="en-GB"/>
              </w:rPr>
              <w:t>Semester 2</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10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Existing students take</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modules in second and subsequent semesters</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£21,000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367A8B">
            <w:pPr>
              <w:rPr>
                <w:sz w:val="16"/>
                <w:szCs w:val="16"/>
                <w:lang w:val="en-GB" w:eastAsia="en-GB"/>
              </w:rPr>
            </w:pPr>
            <w:r w:rsidRPr="00463A39">
              <w:rPr>
                <w:sz w:val="16"/>
                <w:szCs w:val="16"/>
                <w:lang w:val="en-GB" w:eastAsia="en-GB"/>
              </w:rPr>
              <w:t>Semester</w:t>
            </w:r>
            <w:r w:rsidR="00367A8B" w:rsidRPr="00463A39">
              <w:rPr>
                <w:sz w:val="16"/>
                <w:szCs w:val="16"/>
                <w:lang w:val="en-GB" w:eastAsia="en-GB"/>
              </w:rPr>
              <w:t xml:space="preserve"> </w:t>
            </w:r>
            <w:r w:rsidRPr="00463A39">
              <w:rPr>
                <w:sz w:val="16"/>
                <w:szCs w:val="16"/>
                <w:lang w:val="en-GB" w:eastAsia="en-GB"/>
              </w:rPr>
              <w:t>3</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15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£45,000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£27,000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4</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5</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6</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7</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8</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9</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76"/>
          <w:jc w:val="center"/>
        </w:trPr>
        <w:tc>
          <w:tcPr>
            <w:tcW w:w="8640" w:type="dxa"/>
            <w:tcBorders>
              <w:top w:val="nil"/>
              <w:left w:val="single" w:sz="8" w:space="0" w:color="auto"/>
              <w:bottom w:val="single" w:sz="4"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10</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4"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r w:rsidR="007600EB" w:rsidRPr="00413BC4" w:rsidTr="00463A39">
        <w:trPr>
          <w:trHeight w:val="588"/>
          <w:jc w:val="center"/>
        </w:trPr>
        <w:tc>
          <w:tcPr>
            <w:tcW w:w="8640" w:type="dxa"/>
            <w:tcBorders>
              <w:top w:val="nil"/>
              <w:left w:val="single" w:sz="8" w:space="0" w:color="auto"/>
              <w:bottom w:val="single" w:sz="8" w:space="0" w:color="auto"/>
              <w:right w:val="single" w:sz="4" w:space="0" w:color="auto"/>
            </w:tcBorders>
            <w:shd w:val="clear" w:color="auto" w:fill="auto"/>
            <w:vAlign w:val="center"/>
            <w:hideMark/>
          </w:tcPr>
          <w:p w:rsidR="007600EB" w:rsidRPr="00463A39" w:rsidRDefault="007600EB" w:rsidP="007600EB">
            <w:pPr>
              <w:rPr>
                <w:sz w:val="16"/>
                <w:szCs w:val="16"/>
                <w:lang w:val="en-GB" w:eastAsia="en-GB"/>
              </w:rPr>
            </w:pPr>
            <w:r w:rsidRPr="00463A39">
              <w:rPr>
                <w:sz w:val="16"/>
                <w:szCs w:val="16"/>
                <w:lang w:val="en-GB" w:eastAsia="en-GB"/>
              </w:rPr>
              <w:t>Semester 11</w:t>
            </w:r>
          </w:p>
        </w:tc>
        <w:tc>
          <w:tcPr>
            <w:tcW w:w="8640" w:type="dxa"/>
            <w:tcBorders>
              <w:top w:val="nil"/>
              <w:left w:val="nil"/>
              <w:bottom w:val="single" w:sz="4" w:space="0" w:color="auto"/>
              <w:right w:val="single" w:sz="4" w:space="0" w:color="auto"/>
            </w:tcBorders>
            <w:shd w:val="clear" w:color="000000" w:fill="B7DEE8"/>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w:t>
            </w:r>
          </w:p>
        </w:tc>
        <w:tc>
          <w:tcPr>
            <w:tcW w:w="8640" w:type="dxa"/>
            <w:tcBorders>
              <w:top w:val="nil"/>
              <w:left w:val="nil"/>
              <w:bottom w:val="single" w:sz="8"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20</w:t>
            </w:r>
          </w:p>
        </w:tc>
        <w:tc>
          <w:tcPr>
            <w:tcW w:w="8640" w:type="dxa"/>
            <w:tcBorders>
              <w:top w:val="nil"/>
              <w:left w:val="nil"/>
              <w:bottom w:val="single" w:sz="8"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8"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8"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p>
        </w:tc>
        <w:tc>
          <w:tcPr>
            <w:tcW w:w="8640" w:type="dxa"/>
            <w:tcBorders>
              <w:top w:val="nil"/>
              <w:left w:val="nil"/>
              <w:bottom w:val="single" w:sz="4" w:space="0" w:color="auto"/>
              <w:right w:val="single" w:sz="4"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£55,000</w:t>
            </w:r>
          </w:p>
        </w:tc>
        <w:tc>
          <w:tcPr>
            <w:tcW w:w="8640" w:type="dxa"/>
            <w:tcBorders>
              <w:top w:val="nil"/>
              <w:left w:val="nil"/>
              <w:bottom w:val="single" w:sz="8" w:space="0" w:color="auto"/>
              <w:right w:val="single" w:sz="8" w:space="0" w:color="auto"/>
            </w:tcBorders>
            <w:shd w:val="clear" w:color="auto" w:fill="auto"/>
            <w:vAlign w:val="center"/>
            <w:hideMark/>
          </w:tcPr>
          <w:p w:rsidR="007600EB" w:rsidRPr="00463A39" w:rsidRDefault="007600EB" w:rsidP="007600EB">
            <w:pPr>
              <w:jc w:val="center"/>
              <w:rPr>
                <w:sz w:val="16"/>
                <w:szCs w:val="16"/>
                <w:lang w:val="en-GB" w:eastAsia="en-GB"/>
              </w:rPr>
            </w:pPr>
            <w:r w:rsidRPr="00463A39">
              <w:rPr>
                <w:sz w:val="16"/>
                <w:szCs w:val="16"/>
                <w:lang w:val="en-GB" w:eastAsia="en-GB"/>
              </w:rPr>
              <w:t>£33,000</w:t>
            </w:r>
          </w:p>
        </w:tc>
      </w:tr>
    </w:tbl>
    <w:p w:rsidR="00E50348" w:rsidRPr="00413BC4" w:rsidRDefault="00E50348" w:rsidP="00E50348">
      <w:pPr>
        <w:rPr>
          <w:lang w:val="en-GB"/>
        </w:rPr>
      </w:pPr>
      <w:r w:rsidRPr="00413BC4">
        <w:rPr>
          <w:lang w:val="en-GB"/>
        </w:rPr>
        <w:t>Administrative support is taken as 2 hours per student.  This is students contacting course administration with queries.  Mostly queries are resolved at course level.  If the student is referred to centrally supplied services such as the library or VLE support, this is accounted for in the contribution to central overheads.</w:t>
      </w:r>
    </w:p>
    <w:p w:rsidR="007600EB" w:rsidRDefault="007600EB" w:rsidP="00367A8B">
      <w:pPr>
        <w:pStyle w:val="Heading7"/>
        <w:rPr>
          <w:lang w:val="en-GB"/>
        </w:rPr>
      </w:pPr>
      <w:r>
        <w:rPr>
          <w:lang w:val="en-GB"/>
        </w:rPr>
        <w:lastRenderedPageBreak/>
        <w:t>Expenditure, Semester 1</w:t>
      </w:r>
    </w:p>
    <w:p w:rsidR="007600EB" w:rsidRDefault="007600EB" w:rsidP="00463A39">
      <w:pPr>
        <w:pStyle w:val="Heading5"/>
        <w:rPr>
          <w:lang w:val="en-GB"/>
        </w:rPr>
      </w:pPr>
      <w:r w:rsidRPr="00413BC4">
        <w:rPr>
          <w:lang w:val="en-GB"/>
        </w:rPr>
        <w:t>Table 3</w:t>
      </w:r>
    </w:p>
    <w:p w:rsidR="007600EB" w:rsidRPr="00413BC4" w:rsidRDefault="007600EB" w:rsidP="00463A39">
      <w:pPr>
        <w:pStyle w:val="Heading5"/>
        <w:rPr>
          <w:caps/>
          <w:lang w:val="en-GB"/>
        </w:rPr>
      </w:pPr>
      <w:r w:rsidRPr="00413BC4">
        <w:rPr>
          <w:lang w:val="en-GB"/>
        </w:rPr>
        <w:t>Expenditure Semester One</w:t>
      </w:r>
    </w:p>
    <w:tbl>
      <w:tblPr>
        <w:tblW w:w="8640" w:type="dxa"/>
        <w:jc w:val="center"/>
        <w:tblLook w:val="04A0" w:firstRow="1" w:lastRow="0" w:firstColumn="1" w:lastColumn="0" w:noHBand="0" w:noVBand="1"/>
      </w:tblPr>
      <w:tblGrid>
        <w:gridCol w:w="1210"/>
        <w:gridCol w:w="1134"/>
        <w:gridCol w:w="520"/>
        <w:gridCol w:w="973"/>
        <w:gridCol w:w="715"/>
        <w:gridCol w:w="859"/>
        <w:gridCol w:w="873"/>
        <w:gridCol w:w="901"/>
        <w:gridCol w:w="685"/>
        <w:gridCol w:w="770"/>
      </w:tblGrid>
      <w:tr w:rsidR="001A138F" w:rsidRPr="0029725E" w:rsidTr="001A138F">
        <w:trPr>
          <w:trHeight w:val="588"/>
          <w:jc w:val="center"/>
        </w:trPr>
        <w:tc>
          <w:tcPr>
            <w:tcW w:w="8640" w:type="dxa"/>
            <w:gridSpan w:val="10"/>
            <w:tcBorders>
              <w:top w:val="single" w:sz="4" w:space="0" w:color="auto"/>
              <w:left w:val="single" w:sz="4" w:space="0" w:color="auto"/>
              <w:bottom w:val="single" w:sz="4" w:space="0" w:color="auto"/>
              <w:right w:val="single" w:sz="4" w:space="0" w:color="auto"/>
            </w:tcBorders>
            <w:shd w:val="clear" w:color="000000" w:fill="EEECE1"/>
            <w:vAlign w:val="center"/>
          </w:tcPr>
          <w:p w:rsidR="001A138F" w:rsidRPr="00952F98" w:rsidRDefault="001A138F" w:rsidP="001A138F">
            <w:pPr>
              <w:spacing w:before="20" w:after="20"/>
              <w:rPr>
                <w:rFonts w:ascii="Arial" w:hAnsi="Arial" w:cs="Arial"/>
                <w:b/>
                <w:bCs/>
                <w:color w:val="000000"/>
                <w:sz w:val="16"/>
                <w:szCs w:val="16"/>
                <w:lang w:val="en-GB" w:eastAsia="en-GB"/>
              </w:rPr>
            </w:pPr>
            <w:r w:rsidRPr="00952F98">
              <w:rPr>
                <w:rFonts w:ascii="Arial" w:hAnsi="Arial" w:cs="Arial"/>
                <w:b/>
                <w:bCs/>
                <w:color w:val="000000"/>
                <w:sz w:val="17"/>
                <w:szCs w:val="17"/>
                <w:lang w:val="en-GB" w:eastAsia="en-GB"/>
              </w:rPr>
              <w:t>Expenditure</w:t>
            </w:r>
          </w:p>
        </w:tc>
      </w:tr>
      <w:tr w:rsidR="007600EB" w:rsidRPr="0029725E" w:rsidTr="001A138F">
        <w:trPr>
          <w:trHeight w:val="588"/>
          <w:jc w:val="center"/>
        </w:trPr>
        <w:tc>
          <w:tcPr>
            <w:tcW w:w="1210" w:type="dxa"/>
            <w:tcBorders>
              <w:top w:val="single" w:sz="4" w:space="0" w:color="auto"/>
              <w:left w:val="single" w:sz="8" w:space="0" w:color="auto"/>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Academic Time:</w:t>
            </w:r>
          </w:p>
        </w:tc>
        <w:tc>
          <w:tcPr>
            <w:tcW w:w="1134" w:type="dxa"/>
            <w:tcBorders>
              <w:top w:val="single" w:sz="4" w:space="0" w:color="auto"/>
              <w:left w:val="nil"/>
              <w:bottom w:val="single" w:sz="8" w:space="0" w:color="auto"/>
              <w:right w:val="single" w:sz="4" w:space="0" w:color="auto"/>
            </w:tcBorders>
            <w:shd w:val="clear" w:color="000000" w:fill="92CDDC"/>
            <w:vAlign w:val="center"/>
            <w:hideMark/>
          </w:tcPr>
          <w:p w:rsidR="007600EB" w:rsidRPr="00952F98" w:rsidRDefault="007600EB" w:rsidP="007600EB">
            <w:pPr>
              <w:spacing w:before="20" w:after="20"/>
              <w:jc w:val="center"/>
              <w:rPr>
                <w:rFonts w:ascii="Arial" w:hAnsi="Arial" w:cs="Arial"/>
                <w:b/>
                <w:color w:val="000000"/>
                <w:sz w:val="16"/>
                <w:szCs w:val="16"/>
                <w:lang w:val="en-GB" w:eastAsia="en-GB"/>
              </w:rPr>
            </w:pPr>
            <w:r w:rsidRPr="00952F98">
              <w:rPr>
                <w:rFonts w:ascii="Arial" w:hAnsi="Arial" w:cs="Arial"/>
                <w:b/>
                <w:color w:val="000000"/>
                <w:sz w:val="16"/>
                <w:szCs w:val="16"/>
                <w:lang w:val="en-GB" w:eastAsia="en-GB"/>
              </w:rPr>
              <w:t>£55</w:t>
            </w:r>
          </w:p>
        </w:tc>
        <w:tc>
          <w:tcPr>
            <w:tcW w:w="520" w:type="dxa"/>
            <w:tcBorders>
              <w:top w:val="single" w:sz="4" w:space="0" w:color="auto"/>
              <w:left w:val="nil"/>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p.hr</w:t>
            </w:r>
          </w:p>
        </w:tc>
        <w:tc>
          <w:tcPr>
            <w:tcW w:w="973" w:type="dxa"/>
            <w:tcBorders>
              <w:top w:val="single" w:sz="4" w:space="0" w:color="auto"/>
              <w:left w:val="nil"/>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p>
        </w:tc>
        <w:tc>
          <w:tcPr>
            <w:tcW w:w="715" w:type="dxa"/>
            <w:tcBorders>
              <w:top w:val="single" w:sz="4" w:space="0" w:color="auto"/>
              <w:left w:val="nil"/>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Admin Time:</w:t>
            </w:r>
          </w:p>
        </w:tc>
        <w:tc>
          <w:tcPr>
            <w:tcW w:w="859" w:type="dxa"/>
            <w:tcBorders>
              <w:top w:val="single" w:sz="4" w:space="0" w:color="auto"/>
              <w:left w:val="nil"/>
              <w:bottom w:val="single" w:sz="8" w:space="0" w:color="auto"/>
              <w:right w:val="single" w:sz="4" w:space="0" w:color="auto"/>
            </w:tcBorders>
            <w:shd w:val="clear" w:color="000000" w:fill="92CDDC"/>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r w:rsidRPr="00952F98">
              <w:rPr>
                <w:rFonts w:ascii="Arial" w:hAnsi="Arial" w:cs="Arial"/>
                <w:color w:val="000000"/>
                <w:sz w:val="16"/>
                <w:szCs w:val="16"/>
                <w:lang w:val="en-GB" w:eastAsia="en-GB"/>
              </w:rPr>
              <w:t>£30</w:t>
            </w:r>
          </w:p>
        </w:tc>
        <w:tc>
          <w:tcPr>
            <w:tcW w:w="873" w:type="dxa"/>
            <w:tcBorders>
              <w:top w:val="single" w:sz="4" w:space="0" w:color="auto"/>
              <w:left w:val="nil"/>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p.hr</w:t>
            </w:r>
          </w:p>
        </w:tc>
        <w:tc>
          <w:tcPr>
            <w:tcW w:w="901" w:type="dxa"/>
            <w:tcBorders>
              <w:top w:val="single" w:sz="4" w:space="0" w:color="auto"/>
              <w:left w:val="nil"/>
              <w:bottom w:val="single" w:sz="8" w:space="0" w:color="auto"/>
              <w:right w:val="single" w:sz="4"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No of Students</w:t>
            </w:r>
          </w:p>
        </w:tc>
        <w:tc>
          <w:tcPr>
            <w:tcW w:w="685" w:type="dxa"/>
            <w:tcBorders>
              <w:top w:val="single" w:sz="4" w:space="0" w:color="auto"/>
              <w:left w:val="nil"/>
              <w:bottom w:val="single" w:sz="8" w:space="0" w:color="auto"/>
              <w:right w:val="single" w:sz="4" w:space="0" w:color="auto"/>
            </w:tcBorders>
            <w:shd w:val="clear" w:color="000000" w:fill="92CDDC"/>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r w:rsidRPr="00952F98">
              <w:rPr>
                <w:rFonts w:ascii="Arial" w:hAnsi="Arial" w:cs="Arial"/>
                <w:color w:val="000000"/>
                <w:sz w:val="16"/>
                <w:szCs w:val="16"/>
                <w:lang w:val="en-GB" w:eastAsia="en-GB"/>
              </w:rPr>
              <w:t>5</w:t>
            </w:r>
          </w:p>
        </w:tc>
        <w:tc>
          <w:tcPr>
            <w:tcW w:w="770" w:type="dxa"/>
            <w:tcBorders>
              <w:top w:val="single" w:sz="4" w:space="0" w:color="auto"/>
              <w:left w:val="nil"/>
              <w:bottom w:val="single" w:sz="8" w:space="0" w:color="auto"/>
              <w:right w:val="single" w:sz="8" w:space="0" w:color="auto"/>
            </w:tcBorders>
            <w:shd w:val="clear" w:color="000000" w:fill="EEECE1"/>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p>
        </w:tc>
      </w:tr>
      <w:tr w:rsidR="007600EB" w:rsidRPr="0029725E" w:rsidTr="001A138F">
        <w:trPr>
          <w:trHeight w:val="615"/>
          <w:jc w:val="center"/>
        </w:trPr>
        <w:tc>
          <w:tcPr>
            <w:tcW w:w="1210" w:type="dxa"/>
            <w:tcBorders>
              <w:top w:val="nil"/>
              <w:left w:val="single" w:sz="8" w:space="0" w:color="auto"/>
              <w:bottom w:val="single" w:sz="8" w:space="0" w:color="auto"/>
              <w:right w:val="single" w:sz="4" w:space="0" w:color="auto"/>
            </w:tcBorders>
            <w:shd w:val="clear" w:color="auto" w:fill="auto"/>
            <w:vAlign w:val="center"/>
            <w:hideMark/>
          </w:tcPr>
          <w:p w:rsidR="007600EB" w:rsidRPr="00952F98" w:rsidRDefault="0029725E"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Period</w:t>
            </w:r>
          </w:p>
        </w:tc>
        <w:tc>
          <w:tcPr>
            <w:tcW w:w="1134" w:type="dxa"/>
            <w:tcBorders>
              <w:top w:val="nil"/>
              <w:left w:val="nil"/>
              <w:bottom w:val="single" w:sz="8" w:space="0" w:color="auto"/>
              <w:right w:val="single" w:sz="4" w:space="0" w:color="auto"/>
            </w:tcBorders>
            <w:shd w:val="clear" w:color="auto" w:fill="auto"/>
            <w:vAlign w:val="center"/>
            <w:hideMark/>
          </w:tcPr>
          <w:p w:rsidR="007600EB" w:rsidRPr="00952F98" w:rsidRDefault="0029725E"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Details</w:t>
            </w:r>
          </w:p>
        </w:tc>
        <w:tc>
          <w:tcPr>
            <w:tcW w:w="520"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p>
        </w:tc>
        <w:tc>
          <w:tcPr>
            <w:tcW w:w="973" w:type="dxa"/>
            <w:tcBorders>
              <w:top w:val="nil"/>
              <w:left w:val="nil"/>
              <w:bottom w:val="single" w:sz="8" w:space="0" w:color="auto"/>
              <w:right w:val="single" w:sz="4" w:space="0" w:color="auto"/>
            </w:tcBorders>
            <w:shd w:val="clear" w:color="auto" w:fill="auto"/>
            <w:vAlign w:val="center"/>
            <w:hideMark/>
          </w:tcPr>
          <w:p w:rsidR="007600EB" w:rsidRPr="00952F98" w:rsidRDefault="0029725E"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Notes</w:t>
            </w:r>
          </w:p>
        </w:tc>
        <w:tc>
          <w:tcPr>
            <w:tcW w:w="715"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p>
        </w:tc>
        <w:tc>
          <w:tcPr>
            <w:tcW w:w="859"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7600EB">
            <w:pPr>
              <w:spacing w:before="20" w:after="20"/>
              <w:jc w:val="center"/>
              <w:rPr>
                <w:rFonts w:ascii="Arial" w:hAnsi="Arial" w:cs="Arial"/>
                <w:color w:val="000000"/>
                <w:sz w:val="16"/>
                <w:szCs w:val="16"/>
                <w:lang w:val="en-GB" w:eastAsia="en-GB"/>
              </w:rPr>
            </w:pPr>
          </w:p>
        </w:tc>
        <w:tc>
          <w:tcPr>
            <w:tcW w:w="873" w:type="dxa"/>
            <w:tcBorders>
              <w:top w:val="nil"/>
              <w:left w:val="nil"/>
              <w:bottom w:val="single" w:sz="8" w:space="0" w:color="auto"/>
              <w:right w:val="single" w:sz="4" w:space="0" w:color="auto"/>
            </w:tcBorders>
            <w:shd w:val="clear" w:color="auto" w:fill="auto"/>
            <w:vAlign w:val="center"/>
            <w:hideMark/>
          </w:tcPr>
          <w:p w:rsidR="007600EB" w:rsidRPr="00952F98" w:rsidRDefault="0029725E"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 xml:space="preserve">Total </w:t>
            </w:r>
            <w:r w:rsidR="0055157A">
              <w:rPr>
                <w:rFonts w:ascii="Arial" w:hAnsi="Arial" w:cs="Arial"/>
                <w:b/>
                <w:bCs/>
                <w:color w:val="000000"/>
                <w:sz w:val="16"/>
                <w:szCs w:val="16"/>
                <w:lang w:val="en-GB" w:eastAsia="en-GB"/>
              </w:rPr>
              <w:t xml:space="preserve">No. </w:t>
            </w:r>
            <w:r w:rsidRPr="00952F98">
              <w:rPr>
                <w:rFonts w:ascii="Arial" w:hAnsi="Arial" w:cs="Arial"/>
                <w:b/>
                <w:bCs/>
                <w:color w:val="000000"/>
                <w:sz w:val="16"/>
                <w:szCs w:val="16"/>
                <w:lang w:val="en-GB" w:eastAsia="en-GB"/>
              </w:rPr>
              <w:br/>
              <w:t>Modules</w:t>
            </w:r>
          </w:p>
        </w:tc>
        <w:tc>
          <w:tcPr>
            <w:tcW w:w="901"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p>
        </w:tc>
        <w:tc>
          <w:tcPr>
            <w:tcW w:w="685"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Cost</w:t>
            </w:r>
          </w:p>
        </w:tc>
        <w:tc>
          <w:tcPr>
            <w:tcW w:w="770" w:type="dxa"/>
            <w:tcBorders>
              <w:top w:val="nil"/>
              <w:left w:val="nil"/>
              <w:bottom w:val="single" w:sz="8" w:space="0" w:color="auto"/>
              <w:right w:val="single" w:sz="8" w:space="0" w:color="auto"/>
            </w:tcBorders>
            <w:shd w:val="clear" w:color="auto" w:fill="auto"/>
            <w:vAlign w:val="center"/>
            <w:hideMark/>
          </w:tcPr>
          <w:p w:rsidR="007600EB" w:rsidRPr="00952F98" w:rsidRDefault="007600EB" w:rsidP="007600EB">
            <w:pPr>
              <w:spacing w:before="20" w:after="20"/>
              <w:jc w:val="center"/>
              <w:rPr>
                <w:rFonts w:ascii="Arial" w:hAnsi="Arial" w:cs="Arial"/>
                <w:b/>
                <w:bCs/>
                <w:color w:val="000000"/>
                <w:sz w:val="16"/>
                <w:szCs w:val="16"/>
                <w:lang w:val="en-GB" w:eastAsia="en-GB"/>
              </w:rPr>
            </w:pPr>
            <w:r w:rsidRPr="00952F98">
              <w:rPr>
                <w:rFonts w:ascii="Arial" w:hAnsi="Arial" w:cs="Arial"/>
                <w:b/>
                <w:bCs/>
                <w:color w:val="000000"/>
                <w:sz w:val="16"/>
                <w:szCs w:val="16"/>
                <w:lang w:val="en-GB" w:eastAsia="en-GB"/>
              </w:rPr>
              <w:t>Total Cost</w:t>
            </w:r>
          </w:p>
        </w:tc>
      </w:tr>
      <w:tr w:rsidR="007600EB" w:rsidRPr="0029725E" w:rsidTr="001A138F">
        <w:trPr>
          <w:trHeight w:val="576"/>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367A8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Semester</w:t>
            </w:r>
            <w:r w:rsidR="00367A8B" w:rsidRPr="0029725E">
              <w:rPr>
                <w:rFonts w:ascii="Times New Roman" w:hAnsi="Times New Roman"/>
                <w:color w:val="000000"/>
                <w:sz w:val="17"/>
                <w:szCs w:val="17"/>
                <w:lang w:val="en-GB" w:eastAsia="en-GB"/>
              </w:rPr>
              <w:t xml:space="preserve"> </w:t>
            </w:r>
            <w:r w:rsidRPr="0029725E">
              <w:rPr>
                <w:rFonts w:ascii="Times New Roman" w:hAnsi="Times New Roman"/>
                <w:color w:val="000000"/>
                <w:sz w:val="17"/>
                <w:szCs w:val="17"/>
                <w:lang w:val="en-GB" w:eastAsia="en-GB"/>
              </w:rPr>
              <w:t>1</w:t>
            </w: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Module Development</w:t>
            </w:r>
          </w:p>
        </w:tc>
        <w:tc>
          <w:tcPr>
            <w:tcW w:w="5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Cost per module</w:t>
            </w: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4" w:space="0" w:color="auto"/>
              <w:right w:val="single" w:sz="4" w:space="0" w:color="auto"/>
            </w:tcBorders>
            <w:shd w:val="clear" w:color="000000" w:fill="92CDDC"/>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£1,500</w:t>
            </w: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3</w:t>
            </w:r>
          </w:p>
        </w:tc>
        <w:tc>
          <w:tcPr>
            <w:tcW w:w="901" w:type="dxa"/>
            <w:tcBorders>
              <w:top w:val="nil"/>
              <w:left w:val="nil"/>
              <w:bottom w:val="nil"/>
              <w:right w:val="nil"/>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single" w:sz="4"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£4,500</w:t>
            </w: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300"/>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b/>
                <w:bCs/>
                <w:i/>
                <w:iCs/>
                <w:color w:val="000000"/>
                <w:sz w:val="17"/>
                <w:szCs w:val="17"/>
                <w:lang w:val="en-GB" w:eastAsia="en-GB"/>
              </w:rPr>
            </w:pPr>
            <w:r w:rsidRPr="0029725E">
              <w:rPr>
                <w:rFonts w:ascii="Times New Roman" w:hAnsi="Times New Roman"/>
                <w:b/>
                <w:bCs/>
                <w:i/>
                <w:iCs/>
                <w:color w:val="000000"/>
                <w:sz w:val="17"/>
                <w:szCs w:val="17"/>
                <w:lang w:val="en-GB" w:eastAsia="en-GB"/>
              </w:rPr>
              <w:t>Tuition</w:t>
            </w:r>
          </w:p>
        </w:tc>
        <w:tc>
          <w:tcPr>
            <w:tcW w:w="5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864"/>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1/2 hr. on-line tutorials</w:t>
            </w:r>
          </w:p>
        </w:tc>
        <w:tc>
          <w:tcPr>
            <w:tcW w:w="52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2</w:t>
            </w: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Tutorials p module</w:t>
            </w: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6</w:t>
            </w: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academic time</w:t>
            </w: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£330</w:t>
            </w: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864"/>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One-to-One support</w:t>
            </w:r>
          </w:p>
        </w:tc>
        <w:tc>
          <w:tcPr>
            <w:tcW w:w="52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2</w:t>
            </w: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p student p module</w:t>
            </w: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10</w:t>
            </w: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academic time</w:t>
            </w: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£2,750</w:t>
            </w: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600"/>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b/>
                <w:bCs/>
                <w:i/>
                <w:iCs/>
                <w:color w:val="000000"/>
                <w:sz w:val="17"/>
                <w:szCs w:val="17"/>
                <w:lang w:val="en-GB" w:eastAsia="en-GB"/>
              </w:rPr>
            </w:pPr>
            <w:r w:rsidRPr="0029725E">
              <w:rPr>
                <w:rFonts w:ascii="Times New Roman" w:hAnsi="Times New Roman"/>
                <w:b/>
                <w:bCs/>
                <w:i/>
                <w:iCs/>
                <w:color w:val="000000"/>
                <w:sz w:val="17"/>
                <w:szCs w:val="17"/>
                <w:lang w:val="en-GB" w:eastAsia="en-GB"/>
              </w:rPr>
              <w:t>Assessment</w:t>
            </w:r>
          </w:p>
        </w:tc>
        <w:tc>
          <w:tcPr>
            <w:tcW w:w="5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900"/>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 xml:space="preserve">Points of assessment </w:t>
            </w:r>
            <w:r w:rsidR="0029725E">
              <w:rPr>
                <w:rFonts w:ascii="Times New Roman" w:hAnsi="Times New Roman"/>
                <w:color w:val="000000"/>
                <w:sz w:val="17"/>
                <w:szCs w:val="17"/>
                <w:lang w:val="en-GB" w:eastAsia="en-GB"/>
              </w:rPr>
              <w:br/>
            </w:r>
            <w:r w:rsidRPr="0029725E">
              <w:rPr>
                <w:rFonts w:ascii="Times New Roman" w:hAnsi="Times New Roman"/>
                <w:color w:val="000000"/>
                <w:sz w:val="17"/>
                <w:szCs w:val="17"/>
                <w:lang w:val="en-GB" w:eastAsia="en-GB"/>
              </w:rPr>
              <w:t>p module</w:t>
            </w:r>
          </w:p>
        </w:tc>
        <w:tc>
          <w:tcPr>
            <w:tcW w:w="52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2</w:t>
            </w: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864"/>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Marking &amp; feedback</w:t>
            </w:r>
          </w:p>
        </w:tc>
        <w:tc>
          <w:tcPr>
            <w:tcW w:w="52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1</w:t>
            </w: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p student p assessment p module</w:t>
            </w: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4</w:t>
            </w: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academic time</w:t>
            </w: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3</w:t>
            </w: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£3,300</w:t>
            </w: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576"/>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b/>
                <w:bCs/>
                <w:i/>
                <w:iCs/>
                <w:color w:val="000000"/>
                <w:sz w:val="17"/>
                <w:szCs w:val="17"/>
                <w:lang w:val="en-GB" w:eastAsia="en-GB"/>
              </w:rPr>
            </w:pPr>
            <w:r w:rsidRPr="0029725E">
              <w:rPr>
                <w:rFonts w:ascii="Times New Roman" w:hAnsi="Times New Roman"/>
                <w:b/>
                <w:bCs/>
                <w:i/>
                <w:iCs/>
                <w:color w:val="000000"/>
                <w:sz w:val="17"/>
                <w:szCs w:val="17"/>
                <w:lang w:val="en-GB" w:eastAsia="en-GB"/>
              </w:rPr>
              <w:t>Admin Support</w:t>
            </w:r>
          </w:p>
        </w:tc>
        <w:tc>
          <w:tcPr>
            <w:tcW w:w="5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864"/>
          <w:jc w:val="center"/>
        </w:trPr>
        <w:tc>
          <w:tcPr>
            <w:tcW w:w="1210"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Admissions, Queries, say</w:t>
            </w:r>
          </w:p>
        </w:tc>
        <w:tc>
          <w:tcPr>
            <w:tcW w:w="52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2</w:t>
            </w:r>
          </w:p>
        </w:tc>
        <w:tc>
          <w:tcPr>
            <w:tcW w:w="9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 xml:space="preserve">Hrs. </w:t>
            </w:r>
            <w:r w:rsidR="0029725E">
              <w:rPr>
                <w:rFonts w:ascii="Times New Roman" w:hAnsi="Times New Roman"/>
                <w:color w:val="000000"/>
                <w:sz w:val="17"/>
                <w:szCs w:val="17"/>
                <w:lang w:val="en-GB" w:eastAsia="en-GB"/>
              </w:rPr>
              <w:br/>
            </w:r>
            <w:r w:rsidRPr="0029725E">
              <w:rPr>
                <w:rFonts w:ascii="Times New Roman" w:hAnsi="Times New Roman"/>
                <w:color w:val="000000"/>
                <w:sz w:val="17"/>
                <w:szCs w:val="17"/>
                <w:lang w:val="en-GB" w:eastAsia="en-GB"/>
              </w:rPr>
              <w:t>p student</w:t>
            </w:r>
          </w:p>
        </w:tc>
        <w:tc>
          <w:tcPr>
            <w:tcW w:w="71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10</w:t>
            </w:r>
          </w:p>
        </w:tc>
        <w:tc>
          <w:tcPr>
            <w:tcW w:w="859"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hrs. admin time</w:t>
            </w:r>
          </w:p>
        </w:tc>
        <w:tc>
          <w:tcPr>
            <w:tcW w:w="873"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r w:rsidRPr="0029725E">
              <w:rPr>
                <w:rFonts w:ascii="Times New Roman" w:hAnsi="Times New Roman"/>
                <w:color w:val="000000"/>
                <w:sz w:val="17"/>
                <w:szCs w:val="17"/>
                <w:lang w:val="en-GB" w:eastAsia="en-GB"/>
              </w:rPr>
              <w:t>£300</w:t>
            </w:r>
          </w:p>
        </w:tc>
        <w:tc>
          <w:tcPr>
            <w:tcW w:w="77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r>
      <w:tr w:rsidR="007600EB" w:rsidRPr="0029725E" w:rsidTr="001A138F">
        <w:trPr>
          <w:trHeight w:val="300"/>
          <w:jc w:val="center"/>
        </w:trPr>
        <w:tc>
          <w:tcPr>
            <w:tcW w:w="1210" w:type="dxa"/>
            <w:tcBorders>
              <w:top w:val="nil"/>
              <w:left w:val="single" w:sz="8" w:space="0" w:color="auto"/>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1134"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52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73"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15"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59"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873"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901"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685"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color w:val="000000"/>
                <w:sz w:val="17"/>
                <w:szCs w:val="17"/>
                <w:lang w:val="en-GB" w:eastAsia="en-GB"/>
              </w:rPr>
            </w:pPr>
          </w:p>
        </w:tc>
        <w:tc>
          <w:tcPr>
            <w:tcW w:w="770" w:type="dxa"/>
            <w:tcBorders>
              <w:top w:val="nil"/>
              <w:left w:val="nil"/>
              <w:bottom w:val="single" w:sz="8" w:space="0" w:color="auto"/>
              <w:right w:val="single" w:sz="8" w:space="0" w:color="auto"/>
            </w:tcBorders>
            <w:shd w:val="clear" w:color="auto" w:fill="auto"/>
            <w:vAlign w:val="center"/>
            <w:hideMark/>
          </w:tcPr>
          <w:p w:rsidR="007600EB" w:rsidRPr="0029725E" w:rsidRDefault="007600EB" w:rsidP="007600EB">
            <w:pPr>
              <w:spacing w:before="20" w:after="20"/>
              <w:jc w:val="center"/>
              <w:rPr>
                <w:rFonts w:ascii="Times New Roman" w:hAnsi="Times New Roman"/>
                <w:b/>
                <w:bCs/>
                <w:color w:val="000000"/>
                <w:sz w:val="17"/>
                <w:szCs w:val="17"/>
                <w:lang w:val="en-GB" w:eastAsia="en-GB"/>
              </w:rPr>
            </w:pPr>
            <w:r w:rsidRPr="0029725E">
              <w:rPr>
                <w:rFonts w:ascii="Times New Roman" w:hAnsi="Times New Roman"/>
                <w:b/>
                <w:bCs/>
                <w:color w:val="000000"/>
                <w:sz w:val="17"/>
                <w:szCs w:val="17"/>
                <w:lang w:val="en-GB" w:eastAsia="en-GB"/>
              </w:rPr>
              <w:t>£11,180</w:t>
            </w:r>
          </w:p>
        </w:tc>
      </w:tr>
    </w:tbl>
    <w:p w:rsidR="0029725E" w:rsidRDefault="0029725E" w:rsidP="00367A8B">
      <w:pPr>
        <w:pStyle w:val="Heading7"/>
        <w:rPr>
          <w:lang w:val="en-GB"/>
        </w:rPr>
      </w:pPr>
    </w:p>
    <w:p w:rsidR="00952F98" w:rsidRDefault="00952F98">
      <w:pPr>
        <w:spacing w:before="0" w:after="0"/>
        <w:rPr>
          <w:rFonts w:ascii="Arial" w:hAnsi="Arial"/>
          <w:b/>
          <w:szCs w:val="24"/>
          <w:lang w:val="en-GB" w:eastAsia="es-ES"/>
        </w:rPr>
      </w:pPr>
      <w:r>
        <w:rPr>
          <w:lang w:val="en-GB"/>
        </w:rPr>
        <w:br w:type="page"/>
      </w:r>
    </w:p>
    <w:p w:rsidR="007600EB" w:rsidRPr="00413BC4" w:rsidRDefault="007600EB" w:rsidP="00367A8B">
      <w:pPr>
        <w:pStyle w:val="Heading7"/>
        <w:rPr>
          <w:lang w:val="en-GB"/>
        </w:rPr>
      </w:pPr>
      <w:r w:rsidRPr="00413BC4">
        <w:rPr>
          <w:lang w:val="en-GB"/>
        </w:rPr>
        <w:lastRenderedPageBreak/>
        <w:t>Expenditure, Semester 2</w:t>
      </w:r>
    </w:p>
    <w:p w:rsidR="007600EB" w:rsidRPr="00413BC4" w:rsidRDefault="007600EB" w:rsidP="007600EB">
      <w:pPr>
        <w:rPr>
          <w:lang w:val="en-GB"/>
        </w:rPr>
      </w:pPr>
      <w:r w:rsidRPr="00413BC4">
        <w:rPr>
          <w:lang w:val="en-GB"/>
        </w:rPr>
        <w:t xml:space="preserve">A further 5 students are recruited, income increases, there are now 10 students on the course, taking 2 modules.    Variable costs, </w:t>
      </w:r>
      <w:r w:rsidRPr="00413BC4">
        <w:rPr>
          <w:i/>
          <w:lang w:val="en-GB"/>
        </w:rPr>
        <w:t>per student</w:t>
      </w:r>
      <w:r w:rsidRPr="00413BC4">
        <w:rPr>
          <w:lang w:val="en-GB"/>
        </w:rPr>
        <w:t>, increase with the increase in student numbers.  The fixed cost of developing the materials decreases, only 2 new modules being developed.</w:t>
      </w:r>
    </w:p>
    <w:p w:rsidR="0029725E" w:rsidRDefault="0029725E">
      <w:pPr>
        <w:spacing w:before="0" w:after="0"/>
        <w:rPr>
          <w:rFonts w:ascii="Times New Roman" w:hAnsi="Times New Roman"/>
          <w:szCs w:val="22"/>
          <w:lang w:val="en-GB"/>
        </w:rPr>
      </w:pPr>
    </w:p>
    <w:p w:rsidR="007600EB" w:rsidRDefault="007600EB" w:rsidP="0029725E">
      <w:pPr>
        <w:pStyle w:val="Heading5"/>
        <w:rPr>
          <w:lang w:val="en-GB"/>
        </w:rPr>
      </w:pPr>
      <w:r w:rsidRPr="00413BC4">
        <w:rPr>
          <w:lang w:val="en-GB"/>
        </w:rPr>
        <w:t>Table 4</w:t>
      </w:r>
    </w:p>
    <w:p w:rsidR="007600EB" w:rsidRPr="00413BC4" w:rsidRDefault="007600EB" w:rsidP="0029725E">
      <w:pPr>
        <w:pStyle w:val="Heading5"/>
        <w:rPr>
          <w:lang w:val="en-GB"/>
        </w:rPr>
      </w:pPr>
      <w:r w:rsidRPr="00413BC4">
        <w:rPr>
          <w:lang w:val="en-GB"/>
        </w:rPr>
        <w:t>Expenditure Semester 2</w:t>
      </w:r>
    </w:p>
    <w:tbl>
      <w:tblPr>
        <w:tblW w:w="9195" w:type="dxa"/>
        <w:jc w:val="center"/>
        <w:tblLayout w:type="fixed"/>
        <w:tblLook w:val="04A0" w:firstRow="1" w:lastRow="0" w:firstColumn="1" w:lastColumn="0" w:noHBand="0" w:noVBand="1"/>
      </w:tblPr>
      <w:tblGrid>
        <w:gridCol w:w="985"/>
        <w:gridCol w:w="1260"/>
        <w:gridCol w:w="560"/>
        <w:gridCol w:w="1150"/>
        <w:gridCol w:w="740"/>
        <w:gridCol w:w="1060"/>
        <w:gridCol w:w="1010"/>
        <w:gridCol w:w="900"/>
        <w:gridCol w:w="720"/>
        <w:gridCol w:w="810"/>
      </w:tblGrid>
      <w:tr w:rsidR="00952F98" w:rsidRPr="0029725E" w:rsidTr="001A138F">
        <w:trPr>
          <w:trHeight w:val="540"/>
          <w:jc w:val="center"/>
        </w:trPr>
        <w:tc>
          <w:tcPr>
            <w:tcW w:w="9195" w:type="dxa"/>
            <w:gridSpan w:val="10"/>
            <w:tcBorders>
              <w:top w:val="single" w:sz="4" w:space="0" w:color="auto"/>
              <w:left w:val="single" w:sz="4" w:space="0" w:color="auto"/>
              <w:bottom w:val="single" w:sz="4" w:space="0" w:color="auto"/>
              <w:right w:val="single" w:sz="4" w:space="0" w:color="auto"/>
            </w:tcBorders>
            <w:shd w:val="clear" w:color="000000" w:fill="EEECE1"/>
            <w:vAlign w:val="center"/>
          </w:tcPr>
          <w:p w:rsidR="00952F98" w:rsidRPr="00952F98" w:rsidRDefault="00952F98" w:rsidP="00952F98">
            <w:pPr>
              <w:rPr>
                <w:rFonts w:ascii="Arial" w:hAnsi="Arial" w:cs="Arial"/>
                <w:b/>
                <w:sz w:val="20"/>
                <w:lang w:val="en-GB" w:eastAsia="en-GB"/>
              </w:rPr>
            </w:pPr>
            <w:r w:rsidRPr="00952F98">
              <w:rPr>
                <w:rFonts w:ascii="Arial" w:hAnsi="Arial" w:cs="Arial"/>
                <w:b/>
                <w:sz w:val="20"/>
                <w:lang w:val="en-GB" w:eastAsia="en-GB"/>
              </w:rPr>
              <w:t>Expenditure</w:t>
            </w:r>
          </w:p>
        </w:tc>
      </w:tr>
      <w:tr w:rsidR="007600EB" w:rsidRPr="0029725E" w:rsidTr="001A138F">
        <w:trPr>
          <w:trHeight w:val="540"/>
          <w:jc w:val="center"/>
        </w:trPr>
        <w:tc>
          <w:tcPr>
            <w:tcW w:w="985" w:type="dxa"/>
            <w:tcBorders>
              <w:top w:val="single" w:sz="4" w:space="0" w:color="auto"/>
              <w:left w:val="single" w:sz="4" w:space="0" w:color="auto"/>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 xml:space="preserve">Academic </w:t>
            </w:r>
            <w:r w:rsidRPr="001A138F">
              <w:rPr>
                <w:rFonts w:ascii="Arial" w:hAnsi="Arial" w:cs="Arial"/>
                <w:b/>
                <w:sz w:val="16"/>
                <w:szCs w:val="16"/>
                <w:lang w:val="en-GB" w:eastAsia="en-GB"/>
              </w:rPr>
              <w:br/>
              <w:t>Time:</w:t>
            </w:r>
          </w:p>
        </w:tc>
        <w:tc>
          <w:tcPr>
            <w:tcW w:w="1260" w:type="dxa"/>
            <w:tcBorders>
              <w:top w:val="single" w:sz="4" w:space="0" w:color="auto"/>
              <w:left w:val="nil"/>
              <w:bottom w:val="nil"/>
              <w:right w:val="single" w:sz="4" w:space="0" w:color="auto"/>
            </w:tcBorders>
            <w:shd w:val="clear" w:color="000000" w:fill="92CDDC"/>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£55</w:t>
            </w:r>
          </w:p>
        </w:tc>
        <w:tc>
          <w:tcPr>
            <w:tcW w:w="56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p.hr</w:t>
            </w:r>
          </w:p>
        </w:tc>
        <w:tc>
          <w:tcPr>
            <w:tcW w:w="115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p>
        </w:tc>
        <w:tc>
          <w:tcPr>
            <w:tcW w:w="74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Admin Time:</w:t>
            </w:r>
          </w:p>
        </w:tc>
        <w:tc>
          <w:tcPr>
            <w:tcW w:w="1060" w:type="dxa"/>
            <w:tcBorders>
              <w:top w:val="single" w:sz="4" w:space="0" w:color="auto"/>
              <w:left w:val="nil"/>
              <w:bottom w:val="nil"/>
              <w:right w:val="single" w:sz="4" w:space="0" w:color="auto"/>
            </w:tcBorders>
            <w:shd w:val="clear" w:color="000000" w:fill="92CDDC"/>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£30</w:t>
            </w:r>
          </w:p>
        </w:tc>
        <w:tc>
          <w:tcPr>
            <w:tcW w:w="101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p.hr</w:t>
            </w:r>
          </w:p>
        </w:tc>
        <w:tc>
          <w:tcPr>
            <w:tcW w:w="90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No of Students</w:t>
            </w:r>
          </w:p>
        </w:tc>
        <w:tc>
          <w:tcPr>
            <w:tcW w:w="720" w:type="dxa"/>
            <w:tcBorders>
              <w:top w:val="single" w:sz="4" w:space="0" w:color="auto"/>
              <w:left w:val="nil"/>
              <w:bottom w:val="nil"/>
              <w:right w:val="single" w:sz="4" w:space="0" w:color="auto"/>
            </w:tcBorders>
            <w:shd w:val="clear" w:color="000000" w:fill="92CDDC"/>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10</w:t>
            </w:r>
          </w:p>
        </w:tc>
        <w:tc>
          <w:tcPr>
            <w:tcW w:w="810" w:type="dxa"/>
            <w:tcBorders>
              <w:top w:val="single" w:sz="4" w:space="0" w:color="auto"/>
              <w:left w:val="nil"/>
              <w:bottom w:val="nil"/>
              <w:right w:val="single" w:sz="4" w:space="0" w:color="auto"/>
            </w:tcBorders>
            <w:shd w:val="clear" w:color="000000" w:fill="EEECE1"/>
            <w:vAlign w:val="center"/>
            <w:hideMark/>
          </w:tcPr>
          <w:p w:rsidR="007600EB" w:rsidRPr="001A138F" w:rsidRDefault="007600EB" w:rsidP="0029725E">
            <w:pPr>
              <w:jc w:val="center"/>
              <w:rPr>
                <w:rFonts w:ascii="Arial" w:hAnsi="Arial" w:cs="Arial"/>
                <w:b/>
                <w:sz w:val="16"/>
                <w:szCs w:val="16"/>
                <w:lang w:val="en-GB" w:eastAsia="en-GB"/>
              </w:rPr>
            </w:pPr>
          </w:p>
        </w:tc>
      </w:tr>
      <w:tr w:rsidR="007600EB" w:rsidRPr="0029725E" w:rsidTr="001A138F">
        <w:trPr>
          <w:trHeight w:val="421"/>
          <w:jc w:val="center"/>
        </w:trPr>
        <w:tc>
          <w:tcPr>
            <w:tcW w:w="9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600EB" w:rsidRPr="001A138F" w:rsidRDefault="0029725E" w:rsidP="0029725E">
            <w:pPr>
              <w:jc w:val="center"/>
              <w:rPr>
                <w:rFonts w:ascii="Arial" w:hAnsi="Arial" w:cs="Arial"/>
                <w:b/>
                <w:sz w:val="16"/>
                <w:szCs w:val="16"/>
                <w:lang w:val="en-GB" w:eastAsia="en-GB"/>
              </w:rPr>
            </w:pPr>
            <w:r w:rsidRPr="001A138F">
              <w:rPr>
                <w:rFonts w:ascii="Arial" w:hAnsi="Arial" w:cs="Arial"/>
                <w:b/>
                <w:sz w:val="16"/>
                <w:szCs w:val="16"/>
                <w:lang w:val="en-GB" w:eastAsia="en-GB"/>
              </w:rPr>
              <w:t>Period</w:t>
            </w:r>
          </w:p>
        </w:tc>
        <w:tc>
          <w:tcPr>
            <w:tcW w:w="126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29725E" w:rsidP="0029725E">
            <w:pPr>
              <w:jc w:val="center"/>
              <w:rPr>
                <w:rFonts w:ascii="Arial" w:hAnsi="Arial" w:cs="Arial"/>
                <w:b/>
                <w:sz w:val="16"/>
                <w:szCs w:val="16"/>
                <w:lang w:val="en-GB" w:eastAsia="en-GB"/>
              </w:rPr>
            </w:pPr>
            <w:r w:rsidRPr="001A138F">
              <w:rPr>
                <w:rFonts w:ascii="Arial" w:hAnsi="Arial" w:cs="Arial"/>
                <w:b/>
                <w:sz w:val="16"/>
                <w:szCs w:val="16"/>
                <w:lang w:val="en-GB" w:eastAsia="en-GB"/>
              </w:rPr>
              <w:t>Details</w:t>
            </w:r>
          </w:p>
        </w:tc>
        <w:tc>
          <w:tcPr>
            <w:tcW w:w="56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p>
        </w:tc>
        <w:tc>
          <w:tcPr>
            <w:tcW w:w="115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29725E" w:rsidP="0029725E">
            <w:pPr>
              <w:jc w:val="center"/>
              <w:rPr>
                <w:rFonts w:ascii="Arial" w:hAnsi="Arial" w:cs="Arial"/>
                <w:b/>
                <w:sz w:val="16"/>
                <w:szCs w:val="16"/>
                <w:lang w:val="en-GB" w:eastAsia="en-GB"/>
              </w:rPr>
            </w:pPr>
            <w:r w:rsidRPr="001A138F">
              <w:rPr>
                <w:rFonts w:ascii="Arial" w:hAnsi="Arial" w:cs="Arial"/>
                <w:b/>
                <w:sz w:val="16"/>
                <w:szCs w:val="16"/>
                <w:lang w:val="en-GB" w:eastAsia="en-GB"/>
              </w:rPr>
              <w:t>Notes</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p>
        </w:tc>
        <w:tc>
          <w:tcPr>
            <w:tcW w:w="101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29725E" w:rsidP="0029725E">
            <w:pPr>
              <w:jc w:val="center"/>
              <w:rPr>
                <w:rFonts w:ascii="Arial" w:hAnsi="Arial" w:cs="Arial"/>
                <w:b/>
                <w:sz w:val="16"/>
                <w:szCs w:val="16"/>
                <w:lang w:val="en-GB" w:eastAsia="en-GB"/>
              </w:rPr>
            </w:pPr>
            <w:r w:rsidRPr="001A138F">
              <w:rPr>
                <w:rFonts w:ascii="Arial" w:hAnsi="Arial" w:cs="Arial"/>
                <w:b/>
                <w:sz w:val="16"/>
                <w:szCs w:val="16"/>
                <w:lang w:val="en-GB" w:eastAsia="en-GB"/>
              </w:rPr>
              <w:t xml:space="preserve">Total </w:t>
            </w:r>
            <w:r w:rsidR="0055157A">
              <w:rPr>
                <w:rFonts w:ascii="Arial" w:hAnsi="Arial" w:cs="Arial"/>
                <w:b/>
                <w:sz w:val="16"/>
                <w:szCs w:val="16"/>
                <w:lang w:val="en-GB" w:eastAsia="en-GB"/>
              </w:rPr>
              <w:t xml:space="preserve">No. </w:t>
            </w:r>
            <w:r w:rsidRPr="001A138F">
              <w:rPr>
                <w:rFonts w:ascii="Arial" w:hAnsi="Arial" w:cs="Arial"/>
                <w:b/>
                <w:sz w:val="16"/>
                <w:szCs w:val="16"/>
                <w:lang w:val="en-GB" w:eastAsia="en-GB"/>
              </w:rPr>
              <w:br/>
              <w:t>Modules</w:t>
            </w:r>
          </w:p>
        </w:tc>
        <w:tc>
          <w:tcPr>
            <w:tcW w:w="90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p>
        </w:tc>
        <w:tc>
          <w:tcPr>
            <w:tcW w:w="720" w:type="dxa"/>
            <w:tcBorders>
              <w:top w:val="single" w:sz="8" w:space="0" w:color="auto"/>
              <w:left w:val="nil"/>
              <w:bottom w:val="single" w:sz="8" w:space="0" w:color="auto"/>
              <w:right w:val="single" w:sz="4"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Cost</w:t>
            </w:r>
          </w:p>
        </w:tc>
        <w:tc>
          <w:tcPr>
            <w:tcW w:w="810" w:type="dxa"/>
            <w:tcBorders>
              <w:top w:val="single" w:sz="8" w:space="0" w:color="auto"/>
              <w:left w:val="nil"/>
              <w:bottom w:val="single" w:sz="8" w:space="0" w:color="auto"/>
              <w:right w:val="single" w:sz="8" w:space="0" w:color="auto"/>
            </w:tcBorders>
            <w:shd w:val="clear" w:color="auto" w:fill="auto"/>
            <w:vAlign w:val="center"/>
            <w:hideMark/>
          </w:tcPr>
          <w:p w:rsidR="007600EB" w:rsidRPr="001A138F" w:rsidRDefault="007600EB" w:rsidP="0029725E">
            <w:pPr>
              <w:jc w:val="center"/>
              <w:rPr>
                <w:rFonts w:ascii="Arial" w:hAnsi="Arial" w:cs="Arial"/>
                <w:b/>
                <w:sz w:val="16"/>
                <w:szCs w:val="16"/>
                <w:lang w:val="en-GB" w:eastAsia="en-GB"/>
              </w:rPr>
            </w:pPr>
            <w:r w:rsidRPr="001A138F">
              <w:rPr>
                <w:rFonts w:ascii="Arial" w:hAnsi="Arial" w:cs="Arial"/>
                <w:b/>
                <w:sz w:val="16"/>
                <w:szCs w:val="16"/>
                <w:lang w:val="en-GB" w:eastAsia="en-GB"/>
              </w:rPr>
              <w:t>Total Cost</w:t>
            </w:r>
          </w:p>
        </w:tc>
      </w:tr>
      <w:tr w:rsidR="007600EB" w:rsidRPr="0029725E" w:rsidTr="001A138F">
        <w:trPr>
          <w:trHeight w:val="576"/>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Semester</w:t>
            </w:r>
            <w:r w:rsidR="0029725E" w:rsidRPr="0029725E">
              <w:rPr>
                <w:sz w:val="17"/>
                <w:szCs w:val="17"/>
                <w:lang w:val="en-GB" w:eastAsia="en-GB"/>
              </w:rPr>
              <w:t xml:space="preserve"> </w:t>
            </w:r>
            <w:r w:rsidRPr="0029725E">
              <w:rPr>
                <w:sz w:val="17"/>
                <w:szCs w:val="17"/>
                <w:lang w:val="en-GB" w:eastAsia="en-GB"/>
              </w:rPr>
              <w:t>2</w:t>
            </w: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Module Development</w:t>
            </w:r>
          </w:p>
        </w:tc>
        <w:tc>
          <w:tcPr>
            <w:tcW w:w="5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Cost per module</w:t>
            </w: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£1,500</w:t>
            </w: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w:t>
            </w:r>
          </w:p>
        </w:tc>
        <w:tc>
          <w:tcPr>
            <w:tcW w:w="900" w:type="dxa"/>
            <w:tcBorders>
              <w:top w:val="nil"/>
              <w:left w:val="nil"/>
              <w:bottom w:val="nil"/>
              <w:right w:val="nil"/>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£3,000</w:t>
            </w: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300"/>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Tuition</w:t>
            </w:r>
          </w:p>
        </w:tc>
        <w:tc>
          <w:tcPr>
            <w:tcW w:w="5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864"/>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1/2 hr. on-line tutorials</w:t>
            </w:r>
          </w:p>
        </w:tc>
        <w:tc>
          <w:tcPr>
            <w:tcW w:w="5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w:t>
            </w: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Tutorials p module</w:t>
            </w: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6</w:t>
            </w: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hrs. academic time</w:t>
            </w: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£330</w:t>
            </w: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864"/>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One-to-One support</w:t>
            </w:r>
          </w:p>
        </w:tc>
        <w:tc>
          <w:tcPr>
            <w:tcW w:w="5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w:t>
            </w: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 xml:space="preserve">Hrs. </w:t>
            </w:r>
            <w:r w:rsidR="0029725E" w:rsidRPr="0029725E">
              <w:rPr>
                <w:sz w:val="17"/>
                <w:szCs w:val="17"/>
                <w:lang w:val="en-GB" w:eastAsia="en-GB"/>
              </w:rPr>
              <w:br/>
            </w:r>
            <w:r w:rsidRPr="0029725E">
              <w:rPr>
                <w:sz w:val="17"/>
                <w:szCs w:val="17"/>
                <w:lang w:val="en-GB" w:eastAsia="en-GB"/>
              </w:rPr>
              <w:t>p student p module</w:t>
            </w: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6</w:t>
            </w: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hrs. academic time</w:t>
            </w: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5</w:t>
            </w: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£3,300</w:t>
            </w: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600"/>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Assessment</w:t>
            </w:r>
          </w:p>
        </w:tc>
        <w:tc>
          <w:tcPr>
            <w:tcW w:w="5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900"/>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Points of assessment p module</w:t>
            </w:r>
          </w:p>
        </w:tc>
        <w:tc>
          <w:tcPr>
            <w:tcW w:w="5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w:t>
            </w: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864"/>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Marking &amp; feedback</w:t>
            </w:r>
          </w:p>
        </w:tc>
        <w:tc>
          <w:tcPr>
            <w:tcW w:w="5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1</w:t>
            </w: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 xml:space="preserve">Hrs. </w:t>
            </w:r>
            <w:r w:rsidR="0029725E" w:rsidRPr="0029725E">
              <w:rPr>
                <w:sz w:val="17"/>
                <w:szCs w:val="17"/>
                <w:lang w:val="en-GB" w:eastAsia="en-GB"/>
              </w:rPr>
              <w:br/>
            </w:r>
            <w:r w:rsidRPr="0029725E">
              <w:rPr>
                <w:sz w:val="17"/>
                <w:szCs w:val="17"/>
                <w:lang w:val="en-GB" w:eastAsia="en-GB"/>
              </w:rPr>
              <w:t xml:space="preserve">p student </w:t>
            </w:r>
            <w:r w:rsidR="0029725E">
              <w:rPr>
                <w:sz w:val="17"/>
                <w:szCs w:val="17"/>
                <w:lang w:val="en-GB" w:eastAsia="en-GB"/>
              </w:rPr>
              <w:br/>
            </w:r>
            <w:r w:rsidRPr="0029725E">
              <w:rPr>
                <w:sz w:val="17"/>
                <w:szCs w:val="17"/>
                <w:lang w:val="en-GB" w:eastAsia="en-GB"/>
              </w:rPr>
              <w:t>p assessment p module</w:t>
            </w: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4</w:t>
            </w: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hrs. academic time</w:t>
            </w: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5</w:t>
            </w: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£8,800</w:t>
            </w: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288"/>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Admin Support</w:t>
            </w:r>
          </w:p>
        </w:tc>
        <w:tc>
          <w:tcPr>
            <w:tcW w:w="5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864"/>
          <w:jc w:val="center"/>
        </w:trPr>
        <w:tc>
          <w:tcPr>
            <w:tcW w:w="985" w:type="dxa"/>
            <w:tcBorders>
              <w:top w:val="nil"/>
              <w:left w:val="single" w:sz="8" w:space="0" w:color="auto"/>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Admissions Queries, say</w:t>
            </w:r>
          </w:p>
        </w:tc>
        <w:tc>
          <w:tcPr>
            <w:tcW w:w="560" w:type="dxa"/>
            <w:tcBorders>
              <w:top w:val="nil"/>
              <w:left w:val="nil"/>
              <w:bottom w:val="single" w:sz="4" w:space="0" w:color="auto"/>
              <w:right w:val="single" w:sz="4" w:space="0" w:color="auto"/>
            </w:tcBorders>
            <w:shd w:val="clear" w:color="000000" w:fill="B7DEE8"/>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w:t>
            </w:r>
          </w:p>
        </w:tc>
        <w:tc>
          <w:tcPr>
            <w:tcW w:w="115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 xml:space="preserve">Hrs. </w:t>
            </w:r>
            <w:r w:rsidR="0029725E" w:rsidRPr="0029725E">
              <w:rPr>
                <w:sz w:val="17"/>
                <w:szCs w:val="17"/>
                <w:lang w:val="en-GB" w:eastAsia="en-GB"/>
              </w:rPr>
              <w:br/>
            </w:r>
            <w:r w:rsidRPr="0029725E">
              <w:rPr>
                <w:sz w:val="17"/>
                <w:szCs w:val="17"/>
                <w:lang w:val="en-GB" w:eastAsia="en-GB"/>
              </w:rPr>
              <w:t>p student</w:t>
            </w:r>
          </w:p>
        </w:tc>
        <w:tc>
          <w:tcPr>
            <w:tcW w:w="74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20</w:t>
            </w:r>
          </w:p>
        </w:tc>
        <w:tc>
          <w:tcPr>
            <w:tcW w:w="106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hrs. admin time</w:t>
            </w:r>
          </w:p>
        </w:tc>
        <w:tc>
          <w:tcPr>
            <w:tcW w:w="101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£600</w:t>
            </w:r>
          </w:p>
        </w:tc>
        <w:tc>
          <w:tcPr>
            <w:tcW w:w="810" w:type="dxa"/>
            <w:tcBorders>
              <w:top w:val="nil"/>
              <w:left w:val="nil"/>
              <w:bottom w:val="single" w:sz="4"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p>
        </w:tc>
      </w:tr>
      <w:tr w:rsidR="007600EB" w:rsidRPr="0029725E" w:rsidTr="001A138F">
        <w:trPr>
          <w:trHeight w:val="300"/>
          <w:jc w:val="center"/>
        </w:trPr>
        <w:tc>
          <w:tcPr>
            <w:tcW w:w="985" w:type="dxa"/>
            <w:tcBorders>
              <w:top w:val="nil"/>
              <w:left w:val="single" w:sz="8" w:space="0" w:color="auto"/>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26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56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15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4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6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101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90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720" w:type="dxa"/>
            <w:tcBorders>
              <w:top w:val="nil"/>
              <w:left w:val="nil"/>
              <w:bottom w:val="single" w:sz="8" w:space="0" w:color="auto"/>
              <w:right w:val="single" w:sz="4" w:space="0" w:color="auto"/>
            </w:tcBorders>
            <w:shd w:val="clear" w:color="auto" w:fill="auto"/>
            <w:vAlign w:val="center"/>
            <w:hideMark/>
          </w:tcPr>
          <w:p w:rsidR="007600EB" w:rsidRPr="0029725E" w:rsidRDefault="007600EB" w:rsidP="0029725E">
            <w:pPr>
              <w:jc w:val="center"/>
              <w:rPr>
                <w:sz w:val="17"/>
                <w:szCs w:val="17"/>
                <w:lang w:val="en-GB" w:eastAsia="en-GB"/>
              </w:rPr>
            </w:pPr>
          </w:p>
        </w:tc>
        <w:tc>
          <w:tcPr>
            <w:tcW w:w="810" w:type="dxa"/>
            <w:tcBorders>
              <w:top w:val="nil"/>
              <w:left w:val="nil"/>
              <w:bottom w:val="single" w:sz="8" w:space="0" w:color="auto"/>
              <w:right w:val="single" w:sz="8" w:space="0" w:color="auto"/>
            </w:tcBorders>
            <w:shd w:val="clear" w:color="auto" w:fill="auto"/>
            <w:vAlign w:val="center"/>
            <w:hideMark/>
          </w:tcPr>
          <w:p w:rsidR="007600EB" w:rsidRPr="0029725E" w:rsidRDefault="007600EB" w:rsidP="0029725E">
            <w:pPr>
              <w:jc w:val="center"/>
              <w:rPr>
                <w:sz w:val="17"/>
                <w:szCs w:val="17"/>
                <w:lang w:val="en-GB" w:eastAsia="en-GB"/>
              </w:rPr>
            </w:pPr>
            <w:r w:rsidRPr="0029725E">
              <w:rPr>
                <w:sz w:val="17"/>
                <w:szCs w:val="17"/>
                <w:lang w:val="en-GB" w:eastAsia="en-GB"/>
              </w:rPr>
              <w:t>£16,030</w:t>
            </w:r>
          </w:p>
        </w:tc>
      </w:tr>
    </w:tbl>
    <w:p w:rsidR="007600EB" w:rsidRPr="00413BC4" w:rsidRDefault="007600EB" w:rsidP="007600EB">
      <w:pPr>
        <w:rPr>
          <w:lang w:val="en-GB"/>
        </w:rPr>
      </w:pPr>
    </w:p>
    <w:p w:rsidR="00952F98" w:rsidRDefault="00952F98" w:rsidP="00952F98">
      <w:pPr>
        <w:rPr>
          <w:rFonts w:ascii="Arial" w:hAnsi="Arial"/>
          <w:szCs w:val="24"/>
          <w:lang w:val="en-GB" w:eastAsia="es-ES"/>
        </w:rPr>
      </w:pPr>
      <w:r>
        <w:rPr>
          <w:lang w:val="en-GB"/>
        </w:rPr>
        <w:br w:type="page"/>
      </w:r>
    </w:p>
    <w:p w:rsidR="007600EB" w:rsidRPr="00413BC4" w:rsidRDefault="007600EB" w:rsidP="0029725E">
      <w:pPr>
        <w:pStyle w:val="Heading7"/>
        <w:rPr>
          <w:lang w:val="en-GB"/>
        </w:rPr>
      </w:pPr>
      <w:r w:rsidRPr="00413BC4">
        <w:rPr>
          <w:lang w:val="en-GB"/>
        </w:rPr>
        <w:lastRenderedPageBreak/>
        <w:t>Expenditure, Semester 3</w:t>
      </w:r>
    </w:p>
    <w:p w:rsidR="007600EB" w:rsidRPr="00413BC4" w:rsidRDefault="007600EB" w:rsidP="007600EB">
      <w:pPr>
        <w:rPr>
          <w:lang w:val="en-GB"/>
        </w:rPr>
      </w:pPr>
      <w:r w:rsidRPr="00413BC4">
        <w:rPr>
          <w:lang w:val="en-GB"/>
        </w:rPr>
        <w:t xml:space="preserve">A further 5 students are recruited, total students now 15.  Fixed costs of development; again, a further 2 modules are to be developed.  Variable costs; there are now 7 modules being delivered, so variable costs are adjusted. </w:t>
      </w:r>
    </w:p>
    <w:p w:rsidR="007600EB" w:rsidRDefault="007600EB" w:rsidP="001A138F">
      <w:pPr>
        <w:pStyle w:val="Heading5"/>
        <w:rPr>
          <w:lang w:val="en-GB"/>
        </w:rPr>
      </w:pPr>
      <w:r w:rsidRPr="00413BC4">
        <w:rPr>
          <w:lang w:val="en-GB"/>
        </w:rPr>
        <w:t>Table 5</w:t>
      </w:r>
    </w:p>
    <w:p w:rsidR="007600EB" w:rsidRPr="00413BC4" w:rsidRDefault="007600EB" w:rsidP="001A138F">
      <w:pPr>
        <w:pStyle w:val="Heading5"/>
        <w:rPr>
          <w:lang w:val="en-GB"/>
        </w:rPr>
      </w:pPr>
      <w:r w:rsidRPr="00413BC4">
        <w:rPr>
          <w:lang w:val="en-GB"/>
        </w:rPr>
        <w:t>Expenditure Semester 3</w:t>
      </w:r>
    </w:p>
    <w:tbl>
      <w:tblPr>
        <w:tblW w:w="8640" w:type="dxa"/>
        <w:tblInd w:w="93" w:type="dxa"/>
        <w:tblLayout w:type="fixed"/>
        <w:tblLook w:val="04A0" w:firstRow="1" w:lastRow="0" w:firstColumn="1" w:lastColumn="0" w:noHBand="0" w:noVBand="1"/>
      </w:tblPr>
      <w:tblGrid>
        <w:gridCol w:w="977"/>
        <w:gridCol w:w="904"/>
        <w:gridCol w:w="176"/>
        <w:gridCol w:w="396"/>
        <w:gridCol w:w="144"/>
        <w:gridCol w:w="862"/>
        <w:gridCol w:w="38"/>
        <w:gridCol w:w="198"/>
        <w:gridCol w:w="590"/>
        <w:gridCol w:w="889"/>
        <w:gridCol w:w="933"/>
        <w:gridCol w:w="990"/>
        <w:gridCol w:w="743"/>
        <w:gridCol w:w="52"/>
        <w:gridCol w:w="748"/>
      </w:tblGrid>
      <w:tr w:rsidR="007600EB" w:rsidRPr="00952F98" w:rsidTr="00952F98">
        <w:trPr>
          <w:trHeight w:val="315"/>
        </w:trPr>
        <w:tc>
          <w:tcPr>
            <w:tcW w:w="8640" w:type="dxa"/>
            <w:gridSpan w:val="15"/>
            <w:tcBorders>
              <w:top w:val="single" w:sz="8" w:space="0" w:color="auto"/>
              <w:left w:val="single" w:sz="8" w:space="0" w:color="auto"/>
              <w:bottom w:val="single" w:sz="8" w:space="0" w:color="auto"/>
              <w:right w:val="single" w:sz="8" w:space="0" w:color="000000"/>
            </w:tcBorders>
            <w:shd w:val="clear" w:color="000000" w:fill="EEECE1"/>
            <w:vAlign w:val="center"/>
            <w:hideMark/>
          </w:tcPr>
          <w:p w:rsidR="007600EB" w:rsidRPr="00952F98" w:rsidRDefault="00952F98" w:rsidP="0029725E">
            <w:pPr>
              <w:rPr>
                <w:rFonts w:ascii="Arial" w:hAnsi="Arial" w:cs="Arial"/>
                <w:b/>
                <w:sz w:val="20"/>
                <w:lang w:val="en-GB" w:eastAsia="en-GB"/>
              </w:rPr>
            </w:pPr>
            <w:r w:rsidRPr="00952F98">
              <w:rPr>
                <w:rFonts w:ascii="Arial" w:hAnsi="Arial" w:cs="Arial"/>
                <w:b/>
                <w:sz w:val="20"/>
                <w:lang w:val="en-GB" w:eastAsia="en-GB"/>
              </w:rPr>
              <w:t>Expenditure</w:t>
            </w:r>
          </w:p>
        </w:tc>
      </w:tr>
      <w:tr w:rsidR="007600EB" w:rsidRPr="00952F98" w:rsidTr="001A138F">
        <w:trPr>
          <w:trHeight w:val="588"/>
        </w:trPr>
        <w:tc>
          <w:tcPr>
            <w:tcW w:w="977" w:type="dxa"/>
            <w:tcBorders>
              <w:top w:val="nil"/>
              <w:left w:val="single" w:sz="8" w:space="0" w:color="auto"/>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Academic Time:</w:t>
            </w:r>
          </w:p>
        </w:tc>
        <w:tc>
          <w:tcPr>
            <w:tcW w:w="1080" w:type="dxa"/>
            <w:gridSpan w:val="2"/>
            <w:tcBorders>
              <w:top w:val="nil"/>
              <w:left w:val="nil"/>
              <w:bottom w:val="single" w:sz="8" w:space="0" w:color="auto"/>
              <w:right w:val="single" w:sz="4" w:space="0" w:color="auto"/>
            </w:tcBorders>
            <w:shd w:val="clear" w:color="000000" w:fill="92CDDC"/>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£55</w:t>
            </w:r>
          </w:p>
        </w:tc>
        <w:tc>
          <w:tcPr>
            <w:tcW w:w="540" w:type="dxa"/>
            <w:gridSpan w:val="2"/>
            <w:tcBorders>
              <w:top w:val="nil"/>
              <w:left w:val="nil"/>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p.hr</w:t>
            </w:r>
          </w:p>
        </w:tc>
        <w:tc>
          <w:tcPr>
            <w:tcW w:w="900" w:type="dxa"/>
            <w:gridSpan w:val="2"/>
            <w:tcBorders>
              <w:top w:val="nil"/>
              <w:left w:val="nil"/>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p>
        </w:tc>
        <w:tc>
          <w:tcPr>
            <w:tcW w:w="788" w:type="dxa"/>
            <w:gridSpan w:val="2"/>
            <w:tcBorders>
              <w:top w:val="nil"/>
              <w:left w:val="nil"/>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Admin Time:</w:t>
            </w:r>
          </w:p>
        </w:tc>
        <w:tc>
          <w:tcPr>
            <w:tcW w:w="889" w:type="dxa"/>
            <w:tcBorders>
              <w:top w:val="nil"/>
              <w:left w:val="nil"/>
              <w:bottom w:val="single" w:sz="8" w:space="0" w:color="auto"/>
              <w:right w:val="single" w:sz="4" w:space="0" w:color="auto"/>
            </w:tcBorders>
            <w:shd w:val="clear" w:color="000000" w:fill="92CDDC"/>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£30</w:t>
            </w:r>
          </w:p>
        </w:tc>
        <w:tc>
          <w:tcPr>
            <w:tcW w:w="933" w:type="dxa"/>
            <w:tcBorders>
              <w:top w:val="nil"/>
              <w:left w:val="nil"/>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p.hr</w:t>
            </w:r>
          </w:p>
        </w:tc>
        <w:tc>
          <w:tcPr>
            <w:tcW w:w="990" w:type="dxa"/>
            <w:tcBorders>
              <w:top w:val="nil"/>
              <w:left w:val="nil"/>
              <w:bottom w:val="single" w:sz="8" w:space="0" w:color="auto"/>
              <w:right w:val="single" w:sz="4"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No of Students</w:t>
            </w:r>
          </w:p>
        </w:tc>
        <w:tc>
          <w:tcPr>
            <w:tcW w:w="743" w:type="dxa"/>
            <w:tcBorders>
              <w:top w:val="nil"/>
              <w:left w:val="nil"/>
              <w:bottom w:val="single" w:sz="8" w:space="0" w:color="auto"/>
              <w:right w:val="single" w:sz="4" w:space="0" w:color="auto"/>
            </w:tcBorders>
            <w:shd w:val="clear" w:color="000000" w:fill="92CDDC"/>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15</w:t>
            </w:r>
          </w:p>
        </w:tc>
        <w:tc>
          <w:tcPr>
            <w:tcW w:w="800" w:type="dxa"/>
            <w:gridSpan w:val="2"/>
            <w:tcBorders>
              <w:top w:val="nil"/>
              <w:left w:val="nil"/>
              <w:bottom w:val="single" w:sz="8" w:space="0" w:color="auto"/>
              <w:right w:val="single" w:sz="8" w:space="0" w:color="auto"/>
            </w:tcBorders>
            <w:shd w:val="clear" w:color="000000" w:fill="EEECE1"/>
            <w:vAlign w:val="center"/>
            <w:hideMark/>
          </w:tcPr>
          <w:p w:rsidR="007600EB" w:rsidRPr="001A138F" w:rsidRDefault="007600EB" w:rsidP="00952F98">
            <w:pPr>
              <w:jc w:val="center"/>
              <w:rPr>
                <w:rFonts w:ascii="Arial" w:hAnsi="Arial" w:cs="Arial"/>
                <w:b/>
                <w:sz w:val="16"/>
                <w:szCs w:val="16"/>
                <w:lang w:val="en-GB" w:eastAsia="en-GB"/>
              </w:rPr>
            </w:pPr>
          </w:p>
        </w:tc>
      </w:tr>
      <w:tr w:rsidR="007600EB" w:rsidRPr="00952F98" w:rsidTr="001A138F">
        <w:trPr>
          <w:trHeight w:val="484"/>
        </w:trPr>
        <w:tc>
          <w:tcPr>
            <w:tcW w:w="977" w:type="dxa"/>
            <w:tcBorders>
              <w:top w:val="nil"/>
              <w:left w:val="single" w:sz="8" w:space="0" w:color="auto"/>
              <w:bottom w:val="single" w:sz="8" w:space="0" w:color="auto"/>
              <w:right w:val="single" w:sz="4" w:space="0" w:color="auto"/>
            </w:tcBorders>
            <w:shd w:val="clear" w:color="auto" w:fill="auto"/>
            <w:vAlign w:val="center"/>
            <w:hideMark/>
          </w:tcPr>
          <w:p w:rsidR="007600EB" w:rsidRPr="001A138F" w:rsidRDefault="00952F98" w:rsidP="00952F98">
            <w:pPr>
              <w:jc w:val="center"/>
              <w:rPr>
                <w:rFonts w:ascii="Arial" w:hAnsi="Arial" w:cs="Arial"/>
                <w:b/>
                <w:sz w:val="16"/>
                <w:szCs w:val="16"/>
                <w:lang w:val="en-GB" w:eastAsia="en-GB"/>
              </w:rPr>
            </w:pPr>
            <w:r w:rsidRPr="001A138F">
              <w:rPr>
                <w:rFonts w:ascii="Arial" w:hAnsi="Arial" w:cs="Arial"/>
                <w:b/>
                <w:sz w:val="16"/>
                <w:szCs w:val="16"/>
                <w:lang w:val="en-GB" w:eastAsia="en-GB"/>
              </w:rPr>
              <w:t>Period</w:t>
            </w:r>
          </w:p>
        </w:tc>
        <w:tc>
          <w:tcPr>
            <w:tcW w:w="1080" w:type="dxa"/>
            <w:gridSpan w:val="2"/>
            <w:tcBorders>
              <w:top w:val="nil"/>
              <w:left w:val="nil"/>
              <w:bottom w:val="single" w:sz="8" w:space="0" w:color="auto"/>
              <w:right w:val="single" w:sz="4" w:space="0" w:color="auto"/>
            </w:tcBorders>
            <w:shd w:val="clear" w:color="auto" w:fill="auto"/>
            <w:vAlign w:val="center"/>
            <w:hideMark/>
          </w:tcPr>
          <w:p w:rsidR="007600EB" w:rsidRPr="001A138F" w:rsidRDefault="00952F98" w:rsidP="00952F98">
            <w:pPr>
              <w:jc w:val="center"/>
              <w:rPr>
                <w:rFonts w:ascii="Arial" w:hAnsi="Arial" w:cs="Arial"/>
                <w:b/>
                <w:sz w:val="16"/>
                <w:szCs w:val="16"/>
                <w:lang w:val="en-GB" w:eastAsia="en-GB"/>
              </w:rPr>
            </w:pPr>
            <w:r w:rsidRPr="001A138F">
              <w:rPr>
                <w:rFonts w:ascii="Arial" w:hAnsi="Arial" w:cs="Arial"/>
                <w:b/>
                <w:sz w:val="16"/>
                <w:szCs w:val="16"/>
                <w:lang w:val="en-GB" w:eastAsia="en-GB"/>
              </w:rPr>
              <w:t>Details</w:t>
            </w:r>
          </w:p>
        </w:tc>
        <w:tc>
          <w:tcPr>
            <w:tcW w:w="540" w:type="dxa"/>
            <w:gridSpan w:val="2"/>
            <w:tcBorders>
              <w:top w:val="nil"/>
              <w:left w:val="nil"/>
              <w:bottom w:val="single" w:sz="8" w:space="0" w:color="auto"/>
              <w:right w:val="single" w:sz="4"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p>
        </w:tc>
        <w:tc>
          <w:tcPr>
            <w:tcW w:w="900" w:type="dxa"/>
            <w:gridSpan w:val="2"/>
            <w:tcBorders>
              <w:top w:val="nil"/>
              <w:left w:val="nil"/>
              <w:bottom w:val="single" w:sz="8" w:space="0" w:color="auto"/>
              <w:right w:val="single" w:sz="4" w:space="0" w:color="auto"/>
            </w:tcBorders>
            <w:shd w:val="clear" w:color="auto" w:fill="auto"/>
            <w:vAlign w:val="center"/>
            <w:hideMark/>
          </w:tcPr>
          <w:p w:rsidR="007600EB" w:rsidRPr="001A138F" w:rsidRDefault="00952F98" w:rsidP="00952F98">
            <w:pPr>
              <w:jc w:val="center"/>
              <w:rPr>
                <w:rFonts w:ascii="Arial" w:hAnsi="Arial" w:cs="Arial"/>
                <w:b/>
                <w:sz w:val="16"/>
                <w:szCs w:val="16"/>
                <w:lang w:val="en-GB" w:eastAsia="en-GB"/>
              </w:rPr>
            </w:pPr>
            <w:r w:rsidRPr="001A138F">
              <w:rPr>
                <w:rFonts w:ascii="Arial" w:hAnsi="Arial" w:cs="Arial"/>
                <w:b/>
                <w:sz w:val="16"/>
                <w:szCs w:val="16"/>
                <w:lang w:val="en-GB" w:eastAsia="en-GB"/>
              </w:rPr>
              <w:t>Notes</w:t>
            </w:r>
          </w:p>
        </w:tc>
        <w:tc>
          <w:tcPr>
            <w:tcW w:w="788" w:type="dxa"/>
            <w:gridSpan w:val="2"/>
            <w:tcBorders>
              <w:top w:val="nil"/>
              <w:left w:val="nil"/>
              <w:bottom w:val="single" w:sz="8" w:space="0" w:color="auto"/>
              <w:right w:val="single" w:sz="4"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p>
        </w:tc>
        <w:tc>
          <w:tcPr>
            <w:tcW w:w="889" w:type="dxa"/>
            <w:tcBorders>
              <w:top w:val="nil"/>
              <w:left w:val="nil"/>
              <w:bottom w:val="single" w:sz="8" w:space="0" w:color="auto"/>
              <w:right w:val="single" w:sz="4"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p>
        </w:tc>
        <w:tc>
          <w:tcPr>
            <w:tcW w:w="933" w:type="dxa"/>
            <w:tcBorders>
              <w:top w:val="nil"/>
              <w:left w:val="nil"/>
              <w:bottom w:val="single" w:sz="8" w:space="0" w:color="auto"/>
              <w:right w:val="single" w:sz="4" w:space="0" w:color="auto"/>
            </w:tcBorders>
            <w:shd w:val="clear" w:color="auto" w:fill="auto"/>
            <w:vAlign w:val="center"/>
            <w:hideMark/>
          </w:tcPr>
          <w:p w:rsidR="007600EB" w:rsidRPr="001A138F" w:rsidRDefault="00952F98" w:rsidP="00952F98">
            <w:pPr>
              <w:jc w:val="center"/>
              <w:rPr>
                <w:rFonts w:ascii="Arial" w:hAnsi="Arial" w:cs="Arial"/>
                <w:b/>
                <w:sz w:val="16"/>
                <w:szCs w:val="16"/>
                <w:lang w:val="en-GB" w:eastAsia="en-GB"/>
              </w:rPr>
            </w:pPr>
            <w:r w:rsidRPr="001A138F">
              <w:rPr>
                <w:rFonts w:ascii="Arial" w:hAnsi="Arial" w:cs="Arial"/>
                <w:b/>
                <w:sz w:val="16"/>
                <w:szCs w:val="16"/>
                <w:lang w:val="en-GB" w:eastAsia="en-GB"/>
              </w:rPr>
              <w:t xml:space="preserve">Total </w:t>
            </w:r>
            <w:r w:rsidR="0055157A">
              <w:rPr>
                <w:rFonts w:ascii="Arial" w:hAnsi="Arial" w:cs="Arial"/>
                <w:b/>
                <w:sz w:val="16"/>
                <w:szCs w:val="16"/>
                <w:lang w:val="en-GB" w:eastAsia="en-GB"/>
              </w:rPr>
              <w:t xml:space="preserve">No. </w:t>
            </w:r>
            <w:r w:rsidRPr="001A138F">
              <w:rPr>
                <w:rFonts w:ascii="Arial" w:hAnsi="Arial" w:cs="Arial"/>
                <w:b/>
                <w:sz w:val="16"/>
                <w:szCs w:val="16"/>
                <w:lang w:val="en-GB" w:eastAsia="en-GB"/>
              </w:rPr>
              <w:br/>
              <w:t>Modules</w:t>
            </w:r>
          </w:p>
        </w:tc>
        <w:tc>
          <w:tcPr>
            <w:tcW w:w="990" w:type="dxa"/>
            <w:tcBorders>
              <w:top w:val="nil"/>
              <w:left w:val="nil"/>
              <w:bottom w:val="single" w:sz="8" w:space="0" w:color="auto"/>
              <w:right w:val="single" w:sz="4"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p>
        </w:tc>
        <w:tc>
          <w:tcPr>
            <w:tcW w:w="743" w:type="dxa"/>
            <w:tcBorders>
              <w:top w:val="nil"/>
              <w:left w:val="nil"/>
              <w:bottom w:val="single" w:sz="8" w:space="0" w:color="auto"/>
              <w:right w:val="single" w:sz="4"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Cost</w:t>
            </w:r>
          </w:p>
        </w:tc>
        <w:tc>
          <w:tcPr>
            <w:tcW w:w="800" w:type="dxa"/>
            <w:gridSpan w:val="2"/>
            <w:tcBorders>
              <w:top w:val="nil"/>
              <w:left w:val="nil"/>
              <w:bottom w:val="single" w:sz="8" w:space="0" w:color="auto"/>
              <w:right w:val="single" w:sz="8" w:space="0" w:color="auto"/>
            </w:tcBorders>
            <w:shd w:val="clear" w:color="auto" w:fill="auto"/>
            <w:vAlign w:val="center"/>
            <w:hideMark/>
          </w:tcPr>
          <w:p w:rsidR="007600EB" w:rsidRPr="001A138F" w:rsidRDefault="007600EB" w:rsidP="00952F98">
            <w:pPr>
              <w:jc w:val="center"/>
              <w:rPr>
                <w:rFonts w:ascii="Arial" w:hAnsi="Arial" w:cs="Arial"/>
                <w:b/>
                <w:sz w:val="16"/>
                <w:szCs w:val="16"/>
                <w:lang w:val="en-GB" w:eastAsia="en-GB"/>
              </w:rPr>
            </w:pPr>
            <w:r w:rsidRPr="001A138F">
              <w:rPr>
                <w:rFonts w:ascii="Arial" w:hAnsi="Arial" w:cs="Arial"/>
                <w:b/>
                <w:sz w:val="16"/>
                <w:szCs w:val="16"/>
                <w:lang w:val="en-GB" w:eastAsia="en-GB"/>
              </w:rPr>
              <w:t>Total Cost</w:t>
            </w:r>
          </w:p>
        </w:tc>
      </w:tr>
      <w:tr w:rsidR="007600EB" w:rsidRPr="00952F98" w:rsidTr="001A138F">
        <w:trPr>
          <w:trHeight w:val="576"/>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Semester</w:t>
            </w:r>
            <w:r w:rsidRPr="00952F98">
              <w:rPr>
                <w:sz w:val="17"/>
                <w:szCs w:val="17"/>
                <w:lang w:val="en-GB" w:eastAsia="en-GB"/>
              </w:rPr>
              <w:br/>
              <w:t>3</w:t>
            </w: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Module Development</w:t>
            </w:r>
          </w:p>
        </w:tc>
        <w:tc>
          <w:tcPr>
            <w:tcW w:w="54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Cost per module</w:t>
            </w: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4" w:space="0" w:color="auto"/>
              <w:right w:val="single" w:sz="4" w:space="0" w:color="auto"/>
            </w:tcBorders>
            <w:shd w:val="clear" w:color="000000" w:fill="92CDDC"/>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£1,500</w:t>
            </w: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990" w:type="dxa"/>
            <w:tcBorders>
              <w:top w:val="nil"/>
              <w:left w:val="nil"/>
              <w:bottom w:val="nil"/>
              <w:right w:val="nil"/>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single" w:sz="4"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£3,000</w:t>
            </w: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3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Tuition</w:t>
            </w:r>
          </w:p>
        </w:tc>
        <w:tc>
          <w:tcPr>
            <w:tcW w:w="54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 xml:space="preserve">1/2 hr. </w:t>
            </w:r>
            <w:r w:rsidR="00952F98">
              <w:rPr>
                <w:sz w:val="17"/>
                <w:szCs w:val="17"/>
                <w:lang w:val="en-GB" w:eastAsia="en-GB"/>
              </w:rPr>
              <w:br/>
            </w:r>
            <w:r w:rsidRPr="00952F98">
              <w:rPr>
                <w:sz w:val="17"/>
                <w:szCs w:val="17"/>
                <w:lang w:val="en-GB" w:eastAsia="en-GB"/>
              </w:rPr>
              <w:t>on-line tutorials</w:t>
            </w:r>
          </w:p>
        </w:tc>
        <w:tc>
          <w:tcPr>
            <w:tcW w:w="540" w:type="dxa"/>
            <w:gridSpan w:val="2"/>
            <w:tcBorders>
              <w:top w:val="nil"/>
              <w:left w:val="nil"/>
              <w:bottom w:val="single" w:sz="4" w:space="0" w:color="auto"/>
              <w:right w:val="single" w:sz="4" w:space="0" w:color="auto"/>
            </w:tcBorders>
            <w:shd w:val="clear" w:color="000000" w:fill="B7DEE8"/>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Tutorials p module</w:t>
            </w: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6</w:t>
            </w: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academic time</w:t>
            </w: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£330</w:t>
            </w: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One-to-One support</w:t>
            </w:r>
          </w:p>
        </w:tc>
        <w:tc>
          <w:tcPr>
            <w:tcW w:w="540" w:type="dxa"/>
            <w:gridSpan w:val="2"/>
            <w:tcBorders>
              <w:top w:val="nil"/>
              <w:left w:val="nil"/>
              <w:bottom w:val="single" w:sz="4" w:space="0" w:color="auto"/>
              <w:right w:val="single" w:sz="4" w:space="0" w:color="auto"/>
            </w:tcBorders>
            <w:shd w:val="clear" w:color="000000" w:fill="B7DEE8"/>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 xml:space="preserve">Hrs. </w:t>
            </w:r>
            <w:r w:rsidR="00952F98">
              <w:rPr>
                <w:sz w:val="17"/>
                <w:szCs w:val="17"/>
                <w:lang w:val="en-GB" w:eastAsia="en-GB"/>
              </w:rPr>
              <w:br/>
            </w:r>
            <w:r w:rsidRPr="00952F98">
              <w:rPr>
                <w:sz w:val="17"/>
                <w:szCs w:val="17"/>
                <w:lang w:val="en-GB" w:eastAsia="en-GB"/>
              </w:rPr>
              <w:t>p student p module</w:t>
            </w: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6</w:t>
            </w: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academic time</w:t>
            </w: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6</w:t>
            </w: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£4,950</w:t>
            </w: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6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Assessment</w:t>
            </w:r>
          </w:p>
        </w:tc>
        <w:tc>
          <w:tcPr>
            <w:tcW w:w="54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9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Points of assessment p module</w:t>
            </w:r>
          </w:p>
        </w:tc>
        <w:tc>
          <w:tcPr>
            <w:tcW w:w="540" w:type="dxa"/>
            <w:gridSpan w:val="2"/>
            <w:tcBorders>
              <w:top w:val="nil"/>
              <w:left w:val="nil"/>
              <w:bottom w:val="single" w:sz="4" w:space="0" w:color="auto"/>
              <w:right w:val="single" w:sz="4" w:space="0" w:color="auto"/>
            </w:tcBorders>
            <w:shd w:val="clear" w:color="000000" w:fill="B7DEE8"/>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1152"/>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Marking &amp; feedback</w:t>
            </w:r>
          </w:p>
        </w:tc>
        <w:tc>
          <w:tcPr>
            <w:tcW w:w="540" w:type="dxa"/>
            <w:gridSpan w:val="2"/>
            <w:tcBorders>
              <w:top w:val="nil"/>
              <w:left w:val="nil"/>
              <w:bottom w:val="single" w:sz="4" w:space="0" w:color="auto"/>
              <w:right w:val="single" w:sz="4" w:space="0" w:color="auto"/>
            </w:tcBorders>
            <w:shd w:val="clear" w:color="000000" w:fill="B7DEE8"/>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1</w:t>
            </w: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p student p assessment p module</w:t>
            </w: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academic time</w:t>
            </w: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6</w:t>
            </w: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£6,600</w:t>
            </w: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288"/>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Admin Support</w:t>
            </w:r>
          </w:p>
        </w:tc>
        <w:tc>
          <w:tcPr>
            <w:tcW w:w="54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Admissions, Queries, say</w:t>
            </w:r>
          </w:p>
        </w:tc>
        <w:tc>
          <w:tcPr>
            <w:tcW w:w="540" w:type="dxa"/>
            <w:gridSpan w:val="2"/>
            <w:tcBorders>
              <w:top w:val="nil"/>
              <w:left w:val="nil"/>
              <w:bottom w:val="single" w:sz="4" w:space="0" w:color="auto"/>
              <w:right w:val="single" w:sz="4" w:space="0" w:color="auto"/>
            </w:tcBorders>
            <w:shd w:val="clear" w:color="000000" w:fill="B7DEE8"/>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2</w:t>
            </w:r>
          </w:p>
        </w:tc>
        <w:tc>
          <w:tcPr>
            <w:tcW w:w="900"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p student</w:t>
            </w:r>
          </w:p>
        </w:tc>
        <w:tc>
          <w:tcPr>
            <w:tcW w:w="788" w:type="dxa"/>
            <w:gridSpan w:val="2"/>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30</w:t>
            </w:r>
          </w:p>
        </w:tc>
        <w:tc>
          <w:tcPr>
            <w:tcW w:w="889"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hrs. admin time</w:t>
            </w:r>
          </w:p>
        </w:tc>
        <w:tc>
          <w:tcPr>
            <w:tcW w:w="93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4"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£900</w:t>
            </w:r>
          </w:p>
        </w:tc>
        <w:tc>
          <w:tcPr>
            <w:tcW w:w="800" w:type="dxa"/>
            <w:gridSpan w:val="2"/>
            <w:tcBorders>
              <w:top w:val="nil"/>
              <w:left w:val="nil"/>
              <w:bottom w:val="single" w:sz="4"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p>
        </w:tc>
      </w:tr>
      <w:tr w:rsidR="007600EB" w:rsidRPr="00952F98" w:rsidTr="001A138F">
        <w:trPr>
          <w:trHeight w:val="300"/>
        </w:trPr>
        <w:tc>
          <w:tcPr>
            <w:tcW w:w="977" w:type="dxa"/>
            <w:tcBorders>
              <w:top w:val="nil"/>
              <w:left w:val="single" w:sz="8" w:space="0" w:color="auto"/>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1080" w:type="dxa"/>
            <w:gridSpan w:val="2"/>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540" w:type="dxa"/>
            <w:gridSpan w:val="2"/>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00" w:type="dxa"/>
            <w:gridSpan w:val="2"/>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88" w:type="dxa"/>
            <w:gridSpan w:val="2"/>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89"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33"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990"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743" w:type="dxa"/>
            <w:tcBorders>
              <w:top w:val="nil"/>
              <w:left w:val="nil"/>
              <w:bottom w:val="single" w:sz="8" w:space="0" w:color="auto"/>
              <w:right w:val="single" w:sz="4" w:space="0" w:color="auto"/>
            </w:tcBorders>
            <w:shd w:val="clear" w:color="auto" w:fill="auto"/>
            <w:vAlign w:val="center"/>
            <w:hideMark/>
          </w:tcPr>
          <w:p w:rsidR="007600EB" w:rsidRPr="00952F98" w:rsidRDefault="007600EB" w:rsidP="00952F98">
            <w:pPr>
              <w:jc w:val="center"/>
              <w:rPr>
                <w:sz w:val="17"/>
                <w:szCs w:val="17"/>
                <w:lang w:val="en-GB" w:eastAsia="en-GB"/>
              </w:rPr>
            </w:pPr>
          </w:p>
        </w:tc>
        <w:tc>
          <w:tcPr>
            <w:tcW w:w="800" w:type="dxa"/>
            <w:gridSpan w:val="2"/>
            <w:tcBorders>
              <w:top w:val="nil"/>
              <w:left w:val="nil"/>
              <w:bottom w:val="single" w:sz="8" w:space="0" w:color="auto"/>
              <w:right w:val="single" w:sz="8" w:space="0" w:color="auto"/>
            </w:tcBorders>
            <w:shd w:val="clear" w:color="auto" w:fill="auto"/>
            <w:vAlign w:val="center"/>
            <w:hideMark/>
          </w:tcPr>
          <w:p w:rsidR="007600EB" w:rsidRPr="00952F98" w:rsidRDefault="007600EB" w:rsidP="00952F98">
            <w:pPr>
              <w:jc w:val="center"/>
              <w:rPr>
                <w:sz w:val="17"/>
                <w:szCs w:val="17"/>
                <w:lang w:val="en-GB" w:eastAsia="en-GB"/>
              </w:rPr>
            </w:pPr>
            <w:r w:rsidRPr="00952F98">
              <w:rPr>
                <w:sz w:val="17"/>
                <w:szCs w:val="17"/>
                <w:lang w:val="en-GB" w:eastAsia="en-GB"/>
              </w:rPr>
              <w:t>£15,780</w:t>
            </w:r>
          </w:p>
        </w:tc>
      </w:tr>
      <w:tr w:rsidR="007600EB" w:rsidRPr="00952F98" w:rsidTr="001A138F">
        <w:trPr>
          <w:trHeight w:val="300"/>
        </w:trPr>
        <w:tc>
          <w:tcPr>
            <w:tcW w:w="977" w:type="dxa"/>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r w:rsidRPr="00952F98">
              <w:rPr>
                <w:rFonts w:ascii="Times New Roman" w:hAnsi="Times New Roman"/>
                <w:sz w:val="17"/>
                <w:szCs w:val="17"/>
                <w:lang w:val="en-GB"/>
              </w:rPr>
              <w:br w:type="page"/>
            </w:r>
          </w:p>
        </w:tc>
        <w:tc>
          <w:tcPr>
            <w:tcW w:w="904" w:type="dxa"/>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572" w:type="dxa"/>
            <w:gridSpan w:val="2"/>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1006" w:type="dxa"/>
            <w:gridSpan w:val="2"/>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236" w:type="dxa"/>
            <w:gridSpan w:val="2"/>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1479" w:type="dxa"/>
            <w:gridSpan w:val="2"/>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933" w:type="dxa"/>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990" w:type="dxa"/>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795" w:type="dxa"/>
            <w:gridSpan w:val="2"/>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c>
          <w:tcPr>
            <w:tcW w:w="748" w:type="dxa"/>
            <w:tcBorders>
              <w:top w:val="nil"/>
              <w:left w:val="nil"/>
              <w:bottom w:val="nil"/>
              <w:right w:val="nil"/>
            </w:tcBorders>
            <w:shd w:val="clear" w:color="auto" w:fill="auto"/>
            <w:noWrap/>
            <w:vAlign w:val="bottom"/>
            <w:hideMark/>
          </w:tcPr>
          <w:p w:rsidR="007600EB" w:rsidRPr="00952F98" w:rsidRDefault="007600EB" w:rsidP="0029725E">
            <w:pPr>
              <w:rPr>
                <w:rFonts w:ascii="Times New Roman" w:hAnsi="Times New Roman"/>
                <w:sz w:val="17"/>
                <w:szCs w:val="17"/>
                <w:lang w:val="en-GB" w:eastAsia="en-GB"/>
              </w:rPr>
            </w:pPr>
          </w:p>
        </w:tc>
      </w:tr>
    </w:tbl>
    <w:p w:rsidR="001377E6" w:rsidRDefault="001377E6" w:rsidP="001A138F">
      <w:pPr>
        <w:pStyle w:val="Heading7"/>
        <w:rPr>
          <w:lang w:val="en-GB"/>
        </w:rPr>
      </w:pPr>
    </w:p>
    <w:p w:rsidR="001377E6" w:rsidRDefault="001377E6" w:rsidP="001377E6">
      <w:pPr>
        <w:rPr>
          <w:rFonts w:ascii="Arial" w:hAnsi="Arial"/>
          <w:szCs w:val="24"/>
          <w:lang w:val="en-GB" w:eastAsia="es-ES"/>
        </w:rPr>
      </w:pPr>
      <w:r>
        <w:rPr>
          <w:lang w:val="en-GB"/>
        </w:rPr>
        <w:br w:type="page"/>
      </w:r>
    </w:p>
    <w:p w:rsidR="007600EB" w:rsidRPr="00413BC4" w:rsidRDefault="007600EB" w:rsidP="001A138F">
      <w:pPr>
        <w:pStyle w:val="Heading7"/>
        <w:rPr>
          <w:lang w:val="en-GB"/>
        </w:rPr>
      </w:pPr>
      <w:r w:rsidRPr="00413BC4">
        <w:rPr>
          <w:lang w:val="en-GB"/>
        </w:rPr>
        <w:lastRenderedPageBreak/>
        <w:t>Expenditure, Semester 4</w:t>
      </w:r>
    </w:p>
    <w:p w:rsidR="007600EB" w:rsidRDefault="007600EB" w:rsidP="007600EB">
      <w:pPr>
        <w:rPr>
          <w:lang w:val="en-GB"/>
        </w:rPr>
      </w:pPr>
      <w:r w:rsidRPr="00413BC4">
        <w:rPr>
          <w:lang w:val="en-GB"/>
        </w:rPr>
        <w:t>A further 5 students are recruited.  The student total is now 20.  All modules are developed.  Modules are updated and maintained, at 1 day (8 hours) per module.  3 of the 9 modules will be updated each semester.  Variable costs, there are now 9 modules being delivered, variable costs are increased accordingly.</w:t>
      </w:r>
    </w:p>
    <w:p w:rsidR="007600EB" w:rsidRDefault="007600EB" w:rsidP="007600EB">
      <w:pPr>
        <w:rPr>
          <w:lang w:val="en-GB"/>
        </w:rPr>
      </w:pPr>
    </w:p>
    <w:p w:rsidR="007600EB" w:rsidRDefault="007600EB" w:rsidP="001A138F">
      <w:pPr>
        <w:pStyle w:val="Heading5"/>
        <w:rPr>
          <w:lang w:val="en-GB"/>
        </w:rPr>
      </w:pPr>
      <w:r w:rsidRPr="00413BC4">
        <w:rPr>
          <w:lang w:val="en-GB"/>
        </w:rPr>
        <w:t>Table 6</w:t>
      </w:r>
    </w:p>
    <w:p w:rsidR="007600EB" w:rsidRPr="00413BC4" w:rsidRDefault="007600EB" w:rsidP="001A138F">
      <w:pPr>
        <w:pStyle w:val="Heading5"/>
        <w:rPr>
          <w:lang w:val="en-GB"/>
        </w:rPr>
      </w:pPr>
      <w:r w:rsidRPr="00413BC4">
        <w:rPr>
          <w:lang w:val="en-GB"/>
        </w:rPr>
        <w:t>Expenditure Semester 4</w:t>
      </w:r>
    </w:p>
    <w:tbl>
      <w:tblPr>
        <w:tblW w:w="8717" w:type="dxa"/>
        <w:tblInd w:w="93" w:type="dxa"/>
        <w:tblLayout w:type="fixed"/>
        <w:tblLook w:val="04A0" w:firstRow="1" w:lastRow="0" w:firstColumn="1" w:lastColumn="0" w:noHBand="0" w:noVBand="1"/>
      </w:tblPr>
      <w:tblGrid>
        <w:gridCol w:w="977"/>
        <w:gridCol w:w="1080"/>
        <w:gridCol w:w="544"/>
        <w:gridCol w:w="986"/>
        <w:gridCol w:w="720"/>
        <w:gridCol w:w="900"/>
        <w:gridCol w:w="900"/>
        <w:gridCol w:w="990"/>
        <w:gridCol w:w="810"/>
        <w:gridCol w:w="810"/>
      </w:tblGrid>
      <w:tr w:rsidR="007600EB" w:rsidRPr="004B0D04" w:rsidTr="00417083">
        <w:trPr>
          <w:trHeight w:val="315"/>
        </w:trPr>
        <w:tc>
          <w:tcPr>
            <w:tcW w:w="8717" w:type="dxa"/>
            <w:gridSpan w:val="10"/>
            <w:tcBorders>
              <w:top w:val="single" w:sz="8" w:space="0" w:color="auto"/>
              <w:left w:val="single" w:sz="8" w:space="0" w:color="auto"/>
              <w:bottom w:val="single" w:sz="8" w:space="0" w:color="auto"/>
              <w:right w:val="single" w:sz="8" w:space="0" w:color="000000"/>
            </w:tcBorders>
            <w:shd w:val="clear" w:color="000000" w:fill="EEECE1"/>
            <w:vAlign w:val="center"/>
            <w:hideMark/>
          </w:tcPr>
          <w:p w:rsidR="007600EB" w:rsidRPr="001A138F" w:rsidRDefault="001A138F" w:rsidP="007600EB">
            <w:pPr>
              <w:rPr>
                <w:rFonts w:ascii="Arial" w:hAnsi="Arial" w:cs="Arial"/>
                <w:sz w:val="20"/>
                <w:lang w:val="en-GB" w:eastAsia="en-GB"/>
              </w:rPr>
            </w:pPr>
            <w:r w:rsidRPr="001A138F">
              <w:rPr>
                <w:rFonts w:ascii="Arial" w:hAnsi="Arial" w:cs="Arial"/>
                <w:sz w:val="20"/>
                <w:lang w:val="en-GB" w:eastAsia="en-GB"/>
              </w:rPr>
              <w:t>Expenditure</w:t>
            </w:r>
          </w:p>
        </w:tc>
      </w:tr>
      <w:tr w:rsidR="007600EB" w:rsidRPr="004B0D04" w:rsidTr="00417083">
        <w:trPr>
          <w:trHeight w:val="576"/>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Academic Time:</w:t>
            </w:r>
          </w:p>
        </w:tc>
        <w:tc>
          <w:tcPr>
            <w:tcW w:w="1080" w:type="dxa"/>
            <w:tcBorders>
              <w:top w:val="nil"/>
              <w:left w:val="nil"/>
              <w:bottom w:val="single" w:sz="4" w:space="0" w:color="auto"/>
              <w:right w:val="single" w:sz="4" w:space="0" w:color="auto"/>
            </w:tcBorders>
            <w:shd w:val="clear" w:color="000000" w:fill="92CDDC"/>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£55</w:t>
            </w:r>
          </w:p>
        </w:tc>
        <w:tc>
          <w:tcPr>
            <w:tcW w:w="544" w:type="dxa"/>
            <w:tcBorders>
              <w:top w:val="nil"/>
              <w:left w:val="nil"/>
              <w:bottom w:val="single" w:sz="4" w:space="0" w:color="auto"/>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P</w:t>
            </w:r>
            <w:r>
              <w:rPr>
                <w:rFonts w:ascii="Arial" w:hAnsi="Arial" w:cs="Arial"/>
                <w:b/>
                <w:sz w:val="16"/>
                <w:szCs w:val="16"/>
                <w:lang w:val="en-GB" w:eastAsia="en-GB"/>
              </w:rPr>
              <w:t>.</w:t>
            </w:r>
            <w:r>
              <w:rPr>
                <w:rFonts w:ascii="Arial" w:hAnsi="Arial" w:cs="Arial"/>
                <w:b/>
                <w:sz w:val="16"/>
                <w:szCs w:val="16"/>
                <w:lang w:val="en-GB" w:eastAsia="en-GB"/>
              </w:rPr>
              <w:br/>
            </w:r>
            <w:r w:rsidRPr="001A138F">
              <w:rPr>
                <w:rFonts w:ascii="Arial" w:hAnsi="Arial" w:cs="Arial"/>
                <w:b/>
                <w:sz w:val="16"/>
                <w:szCs w:val="16"/>
                <w:lang w:val="en-GB" w:eastAsia="en-GB"/>
              </w:rPr>
              <w:t>Hr</w:t>
            </w:r>
          </w:p>
        </w:tc>
        <w:tc>
          <w:tcPr>
            <w:tcW w:w="986" w:type="dxa"/>
            <w:tcBorders>
              <w:top w:val="nil"/>
              <w:left w:val="nil"/>
              <w:bottom w:val="single" w:sz="4" w:space="0" w:color="auto"/>
              <w:right w:val="single" w:sz="4"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Admin Time:</w:t>
            </w:r>
          </w:p>
        </w:tc>
        <w:tc>
          <w:tcPr>
            <w:tcW w:w="900" w:type="dxa"/>
            <w:tcBorders>
              <w:top w:val="nil"/>
              <w:left w:val="nil"/>
              <w:bottom w:val="single" w:sz="4" w:space="0" w:color="auto"/>
              <w:right w:val="single" w:sz="4" w:space="0" w:color="auto"/>
            </w:tcBorders>
            <w:shd w:val="clear" w:color="000000" w:fill="92CDDC"/>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£30</w:t>
            </w:r>
          </w:p>
        </w:tc>
        <w:tc>
          <w:tcPr>
            <w:tcW w:w="900" w:type="dxa"/>
            <w:tcBorders>
              <w:top w:val="nil"/>
              <w:left w:val="nil"/>
              <w:bottom w:val="single" w:sz="4" w:space="0" w:color="auto"/>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P.Hr</w:t>
            </w:r>
          </w:p>
        </w:tc>
        <w:tc>
          <w:tcPr>
            <w:tcW w:w="990" w:type="dxa"/>
            <w:tcBorders>
              <w:top w:val="nil"/>
              <w:left w:val="nil"/>
              <w:bottom w:val="single" w:sz="4" w:space="0" w:color="auto"/>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 xml:space="preserve">No </w:t>
            </w:r>
            <w:r>
              <w:rPr>
                <w:rFonts w:ascii="Arial" w:hAnsi="Arial" w:cs="Arial"/>
                <w:b/>
                <w:sz w:val="16"/>
                <w:szCs w:val="16"/>
                <w:lang w:val="en-GB" w:eastAsia="en-GB"/>
              </w:rPr>
              <w:t>o</w:t>
            </w:r>
            <w:r w:rsidRPr="001A138F">
              <w:rPr>
                <w:rFonts w:ascii="Arial" w:hAnsi="Arial" w:cs="Arial"/>
                <w:b/>
                <w:sz w:val="16"/>
                <w:szCs w:val="16"/>
                <w:lang w:val="en-GB" w:eastAsia="en-GB"/>
              </w:rPr>
              <w:t>f Students</w:t>
            </w:r>
          </w:p>
        </w:tc>
        <w:tc>
          <w:tcPr>
            <w:tcW w:w="810" w:type="dxa"/>
            <w:tcBorders>
              <w:top w:val="nil"/>
              <w:left w:val="nil"/>
              <w:bottom w:val="single" w:sz="4" w:space="0" w:color="auto"/>
              <w:right w:val="single" w:sz="4" w:space="0" w:color="auto"/>
            </w:tcBorders>
            <w:shd w:val="clear" w:color="000000" w:fill="92CDDC"/>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20</w:t>
            </w:r>
          </w:p>
        </w:tc>
        <w:tc>
          <w:tcPr>
            <w:tcW w:w="810" w:type="dxa"/>
            <w:tcBorders>
              <w:top w:val="nil"/>
              <w:left w:val="nil"/>
              <w:bottom w:val="single" w:sz="4" w:space="0" w:color="auto"/>
              <w:right w:val="single" w:sz="8"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r>
      <w:tr w:rsidR="007600EB" w:rsidRPr="004B0D04" w:rsidTr="00417083">
        <w:trPr>
          <w:trHeight w:val="656"/>
        </w:trPr>
        <w:tc>
          <w:tcPr>
            <w:tcW w:w="977" w:type="dxa"/>
            <w:tcBorders>
              <w:top w:val="nil"/>
              <w:left w:val="single" w:sz="8" w:space="0" w:color="auto"/>
              <w:bottom w:val="nil"/>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Period</w:t>
            </w:r>
          </w:p>
        </w:tc>
        <w:tc>
          <w:tcPr>
            <w:tcW w:w="1080" w:type="dxa"/>
            <w:tcBorders>
              <w:top w:val="nil"/>
              <w:left w:val="nil"/>
              <w:bottom w:val="nil"/>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Details</w:t>
            </w:r>
          </w:p>
        </w:tc>
        <w:tc>
          <w:tcPr>
            <w:tcW w:w="544" w:type="dxa"/>
            <w:tcBorders>
              <w:top w:val="nil"/>
              <w:left w:val="nil"/>
              <w:bottom w:val="nil"/>
              <w:right w:val="single" w:sz="4"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c>
          <w:tcPr>
            <w:tcW w:w="986" w:type="dxa"/>
            <w:tcBorders>
              <w:top w:val="nil"/>
              <w:left w:val="nil"/>
              <w:bottom w:val="nil"/>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Notes</w:t>
            </w:r>
          </w:p>
        </w:tc>
        <w:tc>
          <w:tcPr>
            <w:tcW w:w="720" w:type="dxa"/>
            <w:tcBorders>
              <w:top w:val="nil"/>
              <w:left w:val="nil"/>
              <w:bottom w:val="nil"/>
              <w:right w:val="single" w:sz="4"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c>
          <w:tcPr>
            <w:tcW w:w="900" w:type="dxa"/>
            <w:tcBorders>
              <w:top w:val="nil"/>
              <w:left w:val="nil"/>
              <w:bottom w:val="nil"/>
              <w:right w:val="single" w:sz="4"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c>
          <w:tcPr>
            <w:tcW w:w="900" w:type="dxa"/>
            <w:tcBorders>
              <w:top w:val="nil"/>
              <w:left w:val="nil"/>
              <w:bottom w:val="nil"/>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 xml:space="preserve">Total </w:t>
            </w:r>
            <w:r w:rsidR="0055157A">
              <w:rPr>
                <w:rFonts w:ascii="Arial" w:hAnsi="Arial" w:cs="Arial"/>
                <w:b/>
                <w:sz w:val="16"/>
                <w:szCs w:val="16"/>
                <w:lang w:val="en-GB" w:eastAsia="en-GB"/>
              </w:rPr>
              <w:t xml:space="preserve">No. </w:t>
            </w:r>
            <w:r w:rsidRPr="001A138F">
              <w:rPr>
                <w:rFonts w:ascii="Arial" w:hAnsi="Arial" w:cs="Arial"/>
                <w:b/>
                <w:sz w:val="16"/>
                <w:szCs w:val="16"/>
                <w:lang w:val="en-GB" w:eastAsia="en-GB"/>
              </w:rPr>
              <w:br/>
              <w:t>Modules</w:t>
            </w:r>
          </w:p>
        </w:tc>
        <w:tc>
          <w:tcPr>
            <w:tcW w:w="990" w:type="dxa"/>
            <w:tcBorders>
              <w:top w:val="nil"/>
              <w:left w:val="nil"/>
              <w:bottom w:val="nil"/>
              <w:right w:val="single" w:sz="4" w:space="0" w:color="auto"/>
            </w:tcBorders>
            <w:shd w:val="clear" w:color="auto" w:fill="auto"/>
            <w:vAlign w:val="center"/>
            <w:hideMark/>
          </w:tcPr>
          <w:p w:rsidR="007600EB" w:rsidRPr="001A138F" w:rsidRDefault="007600EB" w:rsidP="001A138F">
            <w:pPr>
              <w:jc w:val="center"/>
              <w:rPr>
                <w:rFonts w:ascii="Arial" w:hAnsi="Arial" w:cs="Arial"/>
                <w:b/>
                <w:sz w:val="16"/>
                <w:szCs w:val="16"/>
                <w:lang w:val="en-GB" w:eastAsia="en-GB"/>
              </w:rPr>
            </w:pPr>
          </w:p>
        </w:tc>
        <w:tc>
          <w:tcPr>
            <w:tcW w:w="810" w:type="dxa"/>
            <w:tcBorders>
              <w:top w:val="nil"/>
              <w:left w:val="nil"/>
              <w:bottom w:val="nil"/>
              <w:right w:val="single" w:sz="4"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Cost</w:t>
            </w:r>
          </w:p>
        </w:tc>
        <w:tc>
          <w:tcPr>
            <w:tcW w:w="810" w:type="dxa"/>
            <w:tcBorders>
              <w:top w:val="nil"/>
              <w:left w:val="nil"/>
              <w:bottom w:val="nil"/>
              <w:right w:val="single" w:sz="8" w:space="0" w:color="auto"/>
            </w:tcBorders>
            <w:shd w:val="clear" w:color="auto" w:fill="auto"/>
            <w:vAlign w:val="center"/>
            <w:hideMark/>
          </w:tcPr>
          <w:p w:rsidR="007600EB" w:rsidRPr="001A138F" w:rsidRDefault="001A138F" w:rsidP="001A138F">
            <w:pPr>
              <w:jc w:val="center"/>
              <w:rPr>
                <w:rFonts w:ascii="Arial" w:hAnsi="Arial" w:cs="Arial"/>
                <w:b/>
                <w:sz w:val="16"/>
                <w:szCs w:val="16"/>
                <w:lang w:val="en-GB" w:eastAsia="en-GB"/>
              </w:rPr>
            </w:pPr>
            <w:r w:rsidRPr="001A138F">
              <w:rPr>
                <w:rFonts w:ascii="Arial" w:hAnsi="Arial" w:cs="Arial"/>
                <w:b/>
                <w:sz w:val="16"/>
                <w:szCs w:val="16"/>
                <w:lang w:val="en-GB" w:eastAsia="en-GB"/>
              </w:rPr>
              <w:t>Total Cost</w:t>
            </w:r>
          </w:p>
        </w:tc>
      </w:tr>
      <w:tr w:rsidR="007600EB" w:rsidRPr="004B0D04" w:rsidTr="00417083">
        <w:trPr>
          <w:trHeight w:val="576"/>
        </w:trPr>
        <w:tc>
          <w:tcPr>
            <w:tcW w:w="97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Semester</w:t>
            </w:r>
            <w:r w:rsidRPr="004B0D04">
              <w:rPr>
                <w:sz w:val="17"/>
                <w:szCs w:val="17"/>
                <w:lang w:val="en-GB" w:eastAsia="en-GB"/>
              </w:rPr>
              <w:br/>
              <w:t>4</w:t>
            </w:r>
          </w:p>
        </w:tc>
        <w:tc>
          <w:tcPr>
            <w:tcW w:w="1080"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Module Maintenance</w:t>
            </w:r>
          </w:p>
        </w:tc>
        <w:tc>
          <w:tcPr>
            <w:tcW w:w="544"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86"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Cost per module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single" w:sz="8" w:space="0" w:color="auto"/>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£440</w:t>
            </w:r>
          </w:p>
        </w:tc>
        <w:tc>
          <w:tcPr>
            <w:tcW w:w="900"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3</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single" w:sz="8" w:space="0" w:color="auto"/>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£1,320</w:t>
            </w:r>
          </w:p>
        </w:tc>
        <w:tc>
          <w:tcPr>
            <w:tcW w:w="810" w:type="dxa"/>
            <w:tcBorders>
              <w:top w:val="single" w:sz="8" w:space="0" w:color="auto"/>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3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Tuition</w:t>
            </w:r>
          </w:p>
        </w:tc>
        <w:tc>
          <w:tcPr>
            <w:tcW w:w="544"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1/2 hr. on-line tutorials</w:t>
            </w:r>
          </w:p>
        </w:tc>
        <w:tc>
          <w:tcPr>
            <w:tcW w:w="544" w:type="dxa"/>
            <w:tcBorders>
              <w:top w:val="nil"/>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2</w:t>
            </w: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Tutorials p module</w:t>
            </w: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6</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academic time</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£330</w:t>
            </w: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One-to-One support</w:t>
            </w:r>
          </w:p>
        </w:tc>
        <w:tc>
          <w:tcPr>
            <w:tcW w:w="544" w:type="dxa"/>
            <w:tcBorders>
              <w:top w:val="nil"/>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2</w:t>
            </w: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p student p module</w:t>
            </w: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6</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academic time</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£6,600</w:t>
            </w: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6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Assessment</w:t>
            </w:r>
          </w:p>
        </w:tc>
        <w:tc>
          <w:tcPr>
            <w:tcW w:w="544"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9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Points of assessment p module</w:t>
            </w:r>
          </w:p>
        </w:tc>
        <w:tc>
          <w:tcPr>
            <w:tcW w:w="544" w:type="dxa"/>
            <w:tcBorders>
              <w:top w:val="nil"/>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2</w:t>
            </w: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1152"/>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Marking &amp; feedback</w:t>
            </w:r>
          </w:p>
        </w:tc>
        <w:tc>
          <w:tcPr>
            <w:tcW w:w="544" w:type="dxa"/>
            <w:tcBorders>
              <w:top w:val="nil"/>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1</w:t>
            </w: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p student p assessment p module</w:t>
            </w: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4</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academic time</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£17,600</w:t>
            </w: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6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Admin Support</w:t>
            </w:r>
          </w:p>
        </w:tc>
        <w:tc>
          <w:tcPr>
            <w:tcW w:w="544"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864"/>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Admissions, Queries, say</w:t>
            </w:r>
          </w:p>
        </w:tc>
        <w:tc>
          <w:tcPr>
            <w:tcW w:w="544" w:type="dxa"/>
            <w:tcBorders>
              <w:top w:val="nil"/>
              <w:left w:val="nil"/>
              <w:bottom w:val="single" w:sz="4" w:space="0" w:color="auto"/>
              <w:right w:val="single" w:sz="4" w:space="0" w:color="auto"/>
            </w:tcBorders>
            <w:shd w:val="clear" w:color="000000" w:fill="B7DEE8"/>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2</w:t>
            </w:r>
          </w:p>
        </w:tc>
        <w:tc>
          <w:tcPr>
            <w:tcW w:w="986"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p student</w:t>
            </w:r>
          </w:p>
        </w:tc>
        <w:tc>
          <w:tcPr>
            <w:tcW w:w="72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40</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hrs. admin time</w:t>
            </w:r>
          </w:p>
        </w:tc>
        <w:tc>
          <w:tcPr>
            <w:tcW w:w="90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4"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£1,200</w:t>
            </w:r>
          </w:p>
        </w:tc>
        <w:tc>
          <w:tcPr>
            <w:tcW w:w="810" w:type="dxa"/>
            <w:tcBorders>
              <w:top w:val="nil"/>
              <w:left w:val="nil"/>
              <w:bottom w:val="single" w:sz="4"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p>
        </w:tc>
      </w:tr>
      <w:tr w:rsidR="007600EB" w:rsidRPr="004B0D04" w:rsidTr="00417083">
        <w:trPr>
          <w:trHeight w:val="300"/>
        </w:trPr>
        <w:tc>
          <w:tcPr>
            <w:tcW w:w="977" w:type="dxa"/>
            <w:tcBorders>
              <w:top w:val="nil"/>
              <w:left w:val="single" w:sz="8" w:space="0" w:color="auto"/>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108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544"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86"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72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0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99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8" w:space="0" w:color="auto"/>
              <w:right w:val="single" w:sz="4" w:space="0" w:color="auto"/>
            </w:tcBorders>
            <w:shd w:val="clear" w:color="auto" w:fill="auto"/>
            <w:vAlign w:val="center"/>
            <w:hideMark/>
          </w:tcPr>
          <w:p w:rsidR="007600EB" w:rsidRPr="004B0D04" w:rsidRDefault="007600EB" w:rsidP="001A138F">
            <w:pPr>
              <w:jc w:val="center"/>
              <w:rPr>
                <w:sz w:val="17"/>
                <w:szCs w:val="17"/>
                <w:lang w:val="en-GB" w:eastAsia="en-GB"/>
              </w:rPr>
            </w:pPr>
          </w:p>
        </w:tc>
        <w:tc>
          <w:tcPr>
            <w:tcW w:w="810" w:type="dxa"/>
            <w:tcBorders>
              <w:top w:val="nil"/>
              <w:left w:val="nil"/>
              <w:bottom w:val="single" w:sz="8" w:space="0" w:color="auto"/>
              <w:right w:val="single" w:sz="8" w:space="0" w:color="auto"/>
            </w:tcBorders>
            <w:shd w:val="clear" w:color="auto" w:fill="auto"/>
            <w:vAlign w:val="center"/>
            <w:hideMark/>
          </w:tcPr>
          <w:p w:rsidR="007600EB" w:rsidRPr="004B0D04" w:rsidRDefault="007600EB" w:rsidP="001A138F">
            <w:pPr>
              <w:jc w:val="center"/>
              <w:rPr>
                <w:sz w:val="17"/>
                <w:szCs w:val="17"/>
                <w:lang w:val="en-GB" w:eastAsia="en-GB"/>
              </w:rPr>
            </w:pPr>
            <w:r w:rsidRPr="004B0D04">
              <w:rPr>
                <w:sz w:val="17"/>
                <w:szCs w:val="17"/>
                <w:lang w:val="en-GB" w:eastAsia="en-GB"/>
              </w:rPr>
              <w:t>£27,050</w:t>
            </w:r>
          </w:p>
        </w:tc>
      </w:tr>
    </w:tbl>
    <w:p w:rsidR="007600EB" w:rsidRDefault="007600EB" w:rsidP="007600EB">
      <w:pPr>
        <w:rPr>
          <w:lang w:val="en-GB"/>
        </w:rPr>
      </w:pPr>
    </w:p>
    <w:p w:rsidR="007600EB" w:rsidRPr="00413BC4" w:rsidRDefault="007600EB" w:rsidP="00417083">
      <w:pPr>
        <w:pStyle w:val="Heading7"/>
        <w:rPr>
          <w:lang w:val="en-GB"/>
        </w:rPr>
      </w:pPr>
      <w:r w:rsidRPr="00413BC4">
        <w:rPr>
          <w:lang w:val="en-GB"/>
        </w:rPr>
        <w:t xml:space="preserve">Further </w:t>
      </w:r>
      <w:r w:rsidR="00463A39">
        <w:rPr>
          <w:lang w:val="en-GB"/>
        </w:rPr>
        <w:t>c</w:t>
      </w:r>
      <w:r w:rsidRPr="00413BC4">
        <w:rPr>
          <w:lang w:val="en-GB"/>
        </w:rPr>
        <w:t>onsiderations</w:t>
      </w:r>
    </w:p>
    <w:p w:rsidR="007600EB" w:rsidRPr="00413BC4" w:rsidRDefault="007600EB" w:rsidP="007600EB">
      <w:pPr>
        <w:rPr>
          <w:lang w:val="en-GB"/>
        </w:rPr>
      </w:pPr>
      <w:r w:rsidRPr="00413BC4">
        <w:rPr>
          <w:lang w:val="en-GB"/>
        </w:rPr>
        <w:lastRenderedPageBreak/>
        <w:t xml:space="preserve">Modules may be shared between different courses.  Where modules have already been created for one course, in costing a new course there will be zero development costs for these modules.  Also, student numbers will differ between modules. Clearly, where a module is shared between 3 different courses, the course marginal costs will be reduced by 3.  </w:t>
      </w:r>
    </w:p>
    <w:p w:rsidR="007600EB" w:rsidRPr="00413BC4" w:rsidRDefault="007600EB" w:rsidP="00417083">
      <w:pPr>
        <w:pStyle w:val="Heading4"/>
        <w:rPr>
          <w:lang w:val="en-GB"/>
        </w:rPr>
      </w:pPr>
      <w:r w:rsidRPr="00413BC4">
        <w:rPr>
          <w:lang w:val="en-GB"/>
        </w:rPr>
        <w:t xml:space="preserve">Discounted Cash Flow </w:t>
      </w:r>
      <w:r w:rsidR="00463A39">
        <w:rPr>
          <w:lang w:val="en-GB"/>
        </w:rPr>
        <w:t>a</w:t>
      </w:r>
      <w:r w:rsidRPr="00413BC4">
        <w:rPr>
          <w:lang w:val="en-GB"/>
        </w:rPr>
        <w:t>nalysis</w:t>
      </w:r>
    </w:p>
    <w:p w:rsidR="007600EB" w:rsidRPr="00413BC4" w:rsidRDefault="007600EB" w:rsidP="007600EB">
      <w:pPr>
        <w:rPr>
          <w:lang w:val="en-GB"/>
        </w:rPr>
      </w:pPr>
      <w:r w:rsidRPr="00413BC4">
        <w:rPr>
          <w:lang w:val="en-GB"/>
        </w:rPr>
        <w:t>Mapping revenue streams, and applying a PV Factor @ 4% the following 10 year (20 semesters) DCF emerges:</w:t>
      </w:r>
    </w:p>
    <w:p w:rsidR="007600EB" w:rsidRDefault="007600EB" w:rsidP="007600EB">
      <w:pPr>
        <w:rPr>
          <w:lang w:val="en-GB"/>
        </w:rPr>
      </w:pPr>
      <w:r w:rsidRPr="00413BC4">
        <w:rPr>
          <w:lang w:val="en-GB"/>
        </w:rPr>
        <w:t xml:space="preserve">4% was selected for historical reasons.  </w:t>
      </w:r>
      <w:r w:rsidRPr="00413BC4">
        <w:rPr>
          <w:noProof/>
          <w:lang w:val="en-GB"/>
        </w:rPr>
        <w:t>(Piketty, 2014)</w:t>
      </w:r>
      <w:r w:rsidRPr="00413BC4">
        <w:rPr>
          <w:lang w:val="en-GB"/>
        </w:rPr>
        <w:t xml:space="preserve"> states “</w:t>
      </w:r>
      <w:r w:rsidRPr="00413BC4">
        <w:rPr>
          <w:i/>
          <w:lang w:val="en-GB"/>
        </w:rPr>
        <w:t>… the mean return we generally see (averaging all types of investments) is generally closer to 4-5% (before taxes).</w:t>
      </w:r>
      <w:r w:rsidRPr="00413BC4">
        <w:rPr>
          <w:lang w:val="en-GB"/>
        </w:rPr>
        <w:t xml:space="preserve">  Varying the discounting rate would affect the yield or IRR.  The user could vary the discounting rate. </w:t>
      </w:r>
    </w:p>
    <w:p w:rsidR="007600EB" w:rsidRDefault="007600EB" w:rsidP="00417083">
      <w:pPr>
        <w:pStyle w:val="Heading5"/>
        <w:rPr>
          <w:lang w:val="en-GB"/>
        </w:rPr>
      </w:pPr>
      <w:r w:rsidRPr="00413BC4">
        <w:rPr>
          <w:lang w:val="en-GB"/>
        </w:rPr>
        <w:t>Table 7</w:t>
      </w:r>
    </w:p>
    <w:p w:rsidR="007600EB" w:rsidRPr="00413BC4" w:rsidRDefault="007600EB" w:rsidP="00417083">
      <w:pPr>
        <w:pStyle w:val="Heading5"/>
        <w:rPr>
          <w:lang w:val="en-GB"/>
        </w:rPr>
      </w:pPr>
      <w:r w:rsidRPr="00413BC4">
        <w:rPr>
          <w:lang w:val="en-GB"/>
        </w:rPr>
        <w:t>10 year DCF.  This approximates to IRR of 264%, over the period.</w:t>
      </w:r>
    </w:p>
    <w:tbl>
      <w:tblPr>
        <w:tblW w:w="7240" w:type="dxa"/>
        <w:jc w:val="center"/>
        <w:tblLook w:val="04A0" w:firstRow="1" w:lastRow="0" w:firstColumn="1" w:lastColumn="0" w:noHBand="0" w:noVBand="1"/>
      </w:tblPr>
      <w:tblGrid>
        <w:gridCol w:w="1359"/>
        <w:gridCol w:w="1130"/>
        <w:gridCol w:w="1130"/>
        <w:gridCol w:w="1130"/>
        <w:gridCol w:w="1148"/>
        <w:gridCol w:w="1343"/>
      </w:tblGrid>
      <w:tr w:rsidR="007600EB" w:rsidRPr="00413BC4" w:rsidTr="00417083">
        <w:trPr>
          <w:trHeight w:val="300"/>
          <w:jc w:val="center"/>
        </w:trPr>
        <w:tc>
          <w:tcPr>
            <w:tcW w:w="1359" w:type="dxa"/>
            <w:tcBorders>
              <w:top w:val="single" w:sz="8" w:space="0" w:color="auto"/>
              <w:left w:val="single" w:sz="8" w:space="0" w:color="auto"/>
              <w:bottom w:val="single" w:sz="8" w:space="0" w:color="auto"/>
              <w:right w:val="single" w:sz="8" w:space="0" w:color="auto"/>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10</w:t>
            </w:r>
          </w:p>
        </w:tc>
        <w:tc>
          <w:tcPr>
            <w:tcW w:w="3390" w:type="dxa"/>
            <w:gridSpan w:val="3"/>
            <w:tcBorders>
              <w:top w:val="single" w:sz="8" w:space="0" w:color="auto"/>
              <w:left w:val="nil"/>
              <w:bottom w:val="single" w:sz="8" w:space="0" w:color="auto"/>
              <w:right w:val="nil"/>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Year Discounted Cash Flow Analysis</w:t>
            </w:r>
          </w:p>
        </w:tc>
        <w:tc>
          <w:tcPr>
            <w:tcW w:w="1148" w:type="dxa"/>
            <w:tcBorders>
              <w:top w:val="single" w:sz="8" w:space="0" w:color="auto"/>
              <w:left w:val="nil"/>
              <w:bottom w:val="single" w:sz="8" w:space="0" w:color="auto"/>
              <w:right w:val="nil"/>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Rate</w:t>
            </w:r>
          </w:p>
        </w:tc>
        <w:tc>
          <w:tcPr>
            <w:tcW w:w="1343" w:type="dxa"/>
            <w:tcBorders>
              <w:top w:val="single" w:sz="8" w:space="0" w:color="auto"/>
              <w:left w:val="nil"/>
              <w:bottom w:val="nil"/>
              <w:right w:val="single" w:sz="8" w:space="0" w:color="auto"/>
            </w:tcBorders>
            <w:shd w:val="clear" w:color="000000" w:fill="B7DEE8"/>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4.00%</w:t>
            </w:r>
          </w:p>
        </w:tc>
      </w:tr>
      <w:tr w:rsidR="007600EB" w:rsidRPr="00413BC4" w:rsidTr="00417083">
        <w:trPr>
          <w:trHeight w:val="615"/>
          <w:jc w:val="center"/>
        </w:trPr>
        <w:tc>
          <w:tcPr>
            <w:tcW w:w="1359" w:type="dxa"/>
            <w:tcBorders>
              <w:top w:val="nil"/>
              <w:left w:val="single" w:sz="8" w:space="0" w:color="auto"/>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Semester</w:t>
            </w:r>
          </w:p>
        </w:tc>
        <w:tc>
          <w:tcPr>
            <w:tcW w:w="1130"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 xml:space="preserve">Net </w:t>
            </w:r>
            <w:r w:rsidR="00417083" w:rsidRPr="00417083">
              <w:rPr>
                <w:rFonts w:ascii="Arial" w:hAnsi="Arial" w:cs="Arial"/>
                <w:b/>
                <w:bCs/>
                <w:sz w:val="16"/>
                <w:szCs w:val="16"/>
                <w:lang w:val="en-GB" w:eastAsia="en-GB"/>
              </w:rPr>
              <w:br/>
            </w:r>
            <w:r w:rsidRPr="00417083">
              <w:rPr>
                <w:rFonts w:ascii="Arial" w:hAnsi="Arial" w:cs="Arial"/>
                <w:b/>
                <w:bCs/>
                <w:sz w:val="16"/>
                <w:szCs w:val="16"/>
                <w:lang w:val="en-GB" w:eastAsia="en-GB"/>
              </w:rPr>
              <w:t>Income</w:t>
            </w:r>
          </w:p>
        </w:tc>
        <w:tc>
          <w:tcPr>
            <w:tcW w:w="1130"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 xml:space="preserve">Total </w:t>
            </w:r>
            <w:r w:rsidR="00417083" w:rsidRPr="00417083">
              <w:rPr>
                <w:rFonts w:ascii="Arial" w:hAnsi="Arial" w:cs="Arial"/>
                <w:b/>
                <w:bCs/>
                <w:sz w:val="16"/>
                <w:szCs w:val="16"/>
                <w:lang w:val="en-GB" w:eastAsia="en-GB"/>
              </w:rPr>
              <w:br/>
            </w:r>
            <w:r w:rsidRPr="00417083">
              <w:rPr>
                <w:rFonts w:ascii="Arial" w:hAnsi="Arial" w:cs="Arial"/>
                <w:b/>
                <w:bCs/>
                <w:sz w:val="16"/>
                <w:szCs w:val="16"/>
                <w:lang w:val="en-GB" w:eastAsia="en-GB"/>
              </w:rPr>
              <w:t>Costs</w:t>
            </w:r>
          </w:p>
        </w:tc>
        <w:tc>
          <w:tcPr>
            <w:tcW w:w="1130"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Net Cash Flow</w:t>
            </w:r>
          </w:p>
        </w:tc>
        <w:tc>
          <w:tcPr>
            <w:tcW w:w="1148"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PV @</w:t>
            </w:r>
          </w:p>
        </w:tc>
        <w:tc>
          <w:tcPr>
            <w:tcW w:w="1343" w:type="dxa"/>
            <w:tcBorders>
              <w:top w:val="single" w:sz="8" w:space="0" w:color="auto"/>
              <w:left w:val="nil"/>
              <w:bottom w:val="single" w:sz="8" w:space="0" w:color="auto"/>
              <w:right w:val="single" w:sz="8" w:space="0" w:color="auto"/>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Net Present Value</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£9,000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£11,180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-£2,180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-£2,180</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2</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£21,000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£16,030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£4,970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0.9612</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£4,777</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3</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£15,780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£11,220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0.9423</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£10,573</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4</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0.9238</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£5,497</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5</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0.9057</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£5,389</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6</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0.8880</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£5,283</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7</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0.8706</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£5,180</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8</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0.8535</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£5,078</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9</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0.8368</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£4,979</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0.8203</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£4,881</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11</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0.8043</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£4,785</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12</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0.7885</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£4,692</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13</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0.7730</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£4,600</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14</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0.7579</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£4,509</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15</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0.7430</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£4,421</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16</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0.7284</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£4,334</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17</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0.7142</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£4,249</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18</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0.7002</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£4,166</w:t>
            </w:r>
          </w:p>
        </w:tc>
      </w:tr>
      <w:tr w:rsidR="007600EB" w:rsidRPr="00413BC4" w:rsidTr="00417083">
        <w:trPr>
          <w:trHeight w:val="288"/>
          <w:jc w:val="center"/>
        </w:trPr>
        <w:tc>
          <w:tcPr>
            <w:tcW w:w="1359"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19</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0.6864</w:t>
            </w:r>
          </w:p>
        </w:tc>
        <w:tc>
          <w:tcPr>
            <w:tcW w:w="1343"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£4,084</w:t>
            </w:r>
          </w:p>
        </w:tc>
      </w:tr>
      <w:tr w:rsidR="007600EB" w:rsidRPr="00413BC4" w:rsidTr="00417083">
        <w:trPr>
          <w:trHeight w:val="300"/>
          <w:jc w:val="center"/>
        </w:trPr>
        <w:tc>
          <w:tcPr>
            <w:tcW w:w="1359" w:type="dxa"/>
            <w:tcBorders>
              <w:top w:val="nil"/>
              <w:left w:val="single" w:sz="8" w:space="0" w:color="auto"/>
              <w:bottom w:val="single" w:sz="8" w:space="0" w:color="auto"/>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20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£33,000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£27,050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£5,950</w:t>
            </w:r>
          </w:p>
        </w:tc>
        <w:tc>
          <w:tcPr>
            <w:tcW w:w="1148"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0.6730</w:t>
            </w:r>
          </w:p>
        </w:tc>
        <w:tc>
          <w:tcPr>
            <w:tcW w:w="1343" w:type="dxa"/>
            <w:tcBorders>
              <w:top w:val="nil"/>
              <w:left w:val="nil"/>
              <w:bottom w:val="single" w:sz="8" w:space="0" w:color="auto"/>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£4,004</w:t>
            </w:r>
          </w:p>
        </w:tc>
      </w:tr>
      <w:tr w:rsidR="007600EB" w:rsidRPr="00413BC4" w:rsidTr="00417083">
        <w:trPr>
          <w:trHeight w:val="324"/>
          <w:jc w:val="center"/>
        </w:trPr>
        <w:tc>
          <w:tcPr>
            <w:tcW w:w="1359" w:type="dxa"/>
            <w:tcBorders>
              <w:top w:val="nil"/>
              <w:left w:val="single" w:sz="8" w:space="0" w:color="auto"/>
              <w:bottom w:val="single" w:sz="8" w:space="0" w:color="auto"/>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 </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£618,000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£502,840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£115,160</w:t>
            </w:r>
          </w:p>
        </w:tc>
        <w:tc>
          <w:tcPr>
            <w:tcW w:w="1148"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p>
        </w:tc>
        <w:tc>
          <w:tcPr>
            <w:tcW w:w="1343" w:type="dxa"/>
            <w:tcBorders>
              <w:top w:val="nil"/>
              <w:left w:val="nil"/>
              <w:bottom w:val="single" w:sz="8" w:space="0" w:color="auto"/>
              <w:right w:val="single" w:sz="8" w:space="0" w:color="auto"/>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£93,302</w:t>
            </w:r>
          </w:p>
        </w:tc>
      </w:tr>
    </w:tbl>
    <w:p w:rsidR="007600EB" w:rsidRPr="00413BC4" w:rsidRDefault="007600EB" w:rsidP="00417083">
      <w:pPr>
        <w:jc w:val="center"/>
        <w:rPr>
          <w:rFonts w:ascii="Times New Roman" w:hAnsi="Times New Roman"/>
          <w:szCs w:val="22"/>
          <w:lang w:val="en-GB"/>
        </w:rPr>
      </w:pPr>
      <w:r w:rsidRPr="00413BC4">
        <w:rPr>
          <w:rFonts w:ascii="Times New Roman" w:hAnsi="Times New Roman"/>
          <w:noProof/>
          <w:szCs w:val="22"/>
        </w:rPr>
        <w:lastRenderedPageBreak/>
        <w:drawing>
          <wp:inline distT="0" distB="0" distL="0" distR="0" wp14:anchorId="1984A02C" wp14:editId="10017CC6">
            <wp:extent cx="3820886" cy="2329543"/>
            <wp:effectExtent l="0" t="0" r="8255" b="1397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00EB" w:rsidRPr="00413BC4" w:rsidRDefault="007600EB" w:rsidP="00417083">
      <w:pPr>
        <w:pStyle w:val="Heading5"/>
        <w:rPr>
          <w:lang w:val="en-GB"/>
        </w:rPr>
      </w:pPr>
      <w:r w:rsidRPr="00413BC4">
        <w:rPr>
          <w:lang w:val="en-GB"/>
        </w:rPr>
        <w:t>Fig 3.   In the best case scenario, the course falls into profit in the second semester.</w:t>
      </w:r>
    </w:p>
    <w:p w:rsidR="007600EB" w:rsidRPr="00413BC4" w:rsidRDefault="007600EB" w:rsidP="00417083">
      <w:pPr>
        <w:pStyle w:val="Heading7"/>
        <w:rPr>
          <w:lang w:val="en-GB"/>
        </w:rPr>
      </w:pPr>
      <w:r w:rsidRPr="00413BC4">
        <w:rPr>
          <w:lang w:val="en-GB"/>
        </w:rPr>
        <w:t xml:space="preserve">Sensitivity </w:t>
      </w:r>
      <w:r w:rsidR="00E50348">
        <w:rPr>
          <w:lang w:val="en-GB"/>
        </w:rPr>
        <w:t>a</w:t>
      </w:r>
      <w:r w:rsidRPr="00413BC4">
        <w:rPr>
          <w:lang w:val="en-GB"/>
        </w:rPr>
        <w:t>nalysis</w:t>
      </w:r>
    </w:p>
    <w:p w:rsidR="007600EB" w:rsidRPr="00413BC4" w:rsidRDefault="007600EB" w:rsidP="007600EB">
      <w:pPr>
        <w:rPr>
          <w:lang w:val="en-GB"/>
        </w:rPr>
      </w:pPr>
      <w:r w:rsidRPr="00413BC4">
        <w:rPr>
          <w:lang w:val="en-GB"/>
        </w:rPr>
        <w:t>The DCF model permits sensitivity analysis by manipulating variables; hence a number of different scenarios are modelled:</w:t>
      </w:r>
    </w:p>
    <w:p w:rsidR="007600EB" w:rsidRDefault="007600EB" w:rsidP="00417083">
      <w:pPr>
        <w:pStyle w:val="Heading5"/>
        <w:rPr>
          <w:lang w:val="en-GB"/>
        </w:rPr>
      </w:pPr>
      <w:r w:rsidRPr="00413BC4">
        <w:rPr>
          <w:lang w:val="en-GB"/>
        </w:rPr>
        <w:t>Table 8</w:t>
      </w:r>
    </w:p>
    <w:p w:rsidR="007600EB" w:rsidRPr="00413BC4" w:rsidRDefault="007600EB" w:rsidP="00417083">
      <w:pPr>
        <w:pStyle w:val="Heading5"/>
        <w:rPr>
          <w:lang w:val="en-GB"/>
        </w:rPr>
      </w:pPr>
      <w:r w:rsidRPr="00413BC4">
        <w:rPr>
          <w:lang w:val="en-GB"/>
        </w:rPr>
        <w:t>10 year DCF.  Ceteris Paribus, fee reduced to £820 per module.</w:t>
      </w:r>
    </w:p>
    <w:tbl>
      <w:tblPr>
        <w:tblW w:w="7240" w:type="dxa"/>
        <w:jc w:val="center"/>
        <w:tblLook w:val="04A0" w:firstRow="1" w:lastRow="0" w:firstColumn="1" w:lastColumn="0" w:noHBand="0" w:noVBand="1"/>
      </w:tblPr>
      <w:tblGrid>
        <w:gridCol w:w="1440"/>
        <w:gridCol w:w="1040"/>
        <w:gridCol w:w="1040"/>
        <w:gridCol w:w="1040"/>
        <w:gridCol w:w="1240"/>
        <w:gridCol w:w="1440"/>
      </w:tblGrid>
      <w:tr w:rsidR="007600EB" w:rsidRPr="00417083" w:rsidTr="007600EB">
        <w:trPr>
          <w:trHeight w:val="300"/>
          <w:jc w:val="center"/>
        </w:trPr>
        <w:tc>
          <w:tcPr>
            <w:tcW w:w="1440" w:type="dxa"/>
            <w:tcBorders>
              <w:top w:val="single" w:sz="8" w:space="0" w:color="auto"/>
              <w:left w:val="single" w:sz="8" w:space="0" w:color="auto"/>
              <w:bottom w:val="single" w:sz="8" w:space="0" w:color="auto"/>
              <w:right w:val="single" w:sz="8" w:space="0" w:color="auto"/>
            </w:tcBorders>
            <w:shd w:val="clear" w:color="000000" w:fill="EEECE1"/>
            <w:vAlign w:val="center"/>
            <w:hideMark/>
          </w:tcPr>
          <w:p w:rsidR="007600EB" w:rsidRPr="00417083" w:rsidRDefault="007600EB" w:rsidP="007600EB">
            <w:pPr>
              <w:spacing w:before="40" w:after="40"/>
              <w:rPr>
                <w:rFonts w:ascii="Arial" w:hAnsi="Arial" w:cs="Arial"/>
                <w:b/>
                <w:sz w:val="16"/>
                <w:szCs w:val="16"/>
                <w:lang w:val="en-GB" w:eastAsia="en-GB"/>
              </w:rPr>
            </w:pPr>
            <w:r w:rsidRPr="00417083">
              <w:rPr>
                <w:rFonts w:ascii="Arial" w:hAnsi="Arial" w:cs="Arial"/>
                <w:b/>
                <w:sz w:val="16"/>
                <w:szCs w:val="16"/>
                <w:lang w:val="en-GB" w:eastAsia="en-GB"/>
              </w:rPr>
              <w:t>10</w:t>
            </w:r>
          </w:p>
        </w:tc>
        <w:tc>
          <w:tcPr>
            <w:tcW w:w="3120" w:type="dxa"/>
            <w:gridSpan w:val="3"/>
            <w:tcBorders>
              <w:top w:val="single" w:sz="8" w:space="0" w:color="auto"/>
              <w:left w:val="nil"/>
              <w:bottom w:val="single" w:sz="8" w:space="0" w:color="auto"/>
              <w:right w:val="nil"/>
            </w:tcBorders>
            <w:shd w:val="clear" w:color="000000" w:fill="EEECE1"/>
            <w:vAlign w:val="center"/>
            <w:hideMark/>
          </w:tcPr>
          <w:p w:rsidR="007600EB" w:rsidRPr="00417083" w:rsidRDefault="007600EB" w:rsidP="007600EB">
            <w:pPr>
              <w:spacing w:before="40" w:after="40"/>
              <w:rPr>
                <w:rFonts w:ascii="Arial" w:hAnsi="Arial" w:cs="Arial"/>
                <w:b/>
                <w:sz w:val="16"/>
                <w:szCs w:val="16"/>
                <w:lang w:val="en-GB" w:eastAsia="en-GB"/>
              </w:rPr>
            </w:pPr>
            <w:r w:rsidRPr="00417083">
              <w:rPr>
                <w:rFonts w:ascii="Arial" w:hAnsi="Arial" w:cs="Arial"/>
                <w:b/>
                <w:sz w:val="16"/>
                <w:szCs w:val="16"/>
                <w:lang w:val="en-GB" w:eastAsia="en-GB"/>
              </w:rPr>
              <w:t>Year Discounted Cash Flow Analysis</w:t>
            </w:r>
          </w:p>
        </w:tc>
        <w:tc>
          <w:tcPr>
            <w:tcW w:w="1240" w:type="dxa"/>
            <w:tcBorders>
              <w:top w:val="single" w:sz="8" w:space="0" w:color="auto"/>
              <w:left w:val="nil"/>
              <w:bottom w:val="single" w:sz="8" w:space="0" w:color="auto"/>
              <w:right w:val="nil"/>
            </w:tcBorders>
            <w:shd w:val="clear" w:color="000000" w:fill="EEECE1"/>
            <w:vAlign w:val="center"/>
            <w:hideMark/>
          </w:tcPr>
          <w:p w:rsidR="007600EB" w:rsidRPr="00417083" w:rsidRDefault="007600EB" w:rsidP="00417083">
            <w:pPr>
              <w:spacing w:before="40" w:after="40"/>
              <w:jc w:val="right"/>
              <w:rPr>
                <w:rFonts w:ascii="Arial" w:hAnsi="Arial" w:cs="Arial"/>
                <w:b/>
                <w:sz w:val="16"/>
                <w:szCs w:val="16"/>
                <w:lang w:val="en-GB" w:eastAsia="en-GB"/>
              </w:rPr>
            </w:pPr>
            <w:r w:rsidRPr="00417083">
              <w:rPr>
                <w:rFonts w:ascii="Arial" w:hAnsi="Arial" w:cs="Arial"/>
                <w:b/>
                <w:sz w:val="16"/>
                <w:szCs w:val="16"/>
                <w:lang w:val="en-GB" w:eastAsia="en-GB"/>
              </w:rPr>
              <w:t>Rate</w:t>
            </w:r>
          </w:p>
        </w:tc>
        <w:tc>
          <w:tcPr>
            <w:tcW w:w="1440" w:type="dxa"/>
            <w:tcBorders>
              <w:top w:val="single" w:sz="8" w:space="0" w:color="auto"/>
              <w:left w:val="nil"/>
              <w:bottom w:val="nil"/>
              <w:right w:val="single" w:sz="8" w:space="0" w:color="auto"/>
            </w:tcBorders>
            <w:shd w:val="clear" w:color="000000" w:fill="B7DEE8"/>
            <w:vAlign w:val="center"/>
            <w:hideMark/>
          </w:tcPr>
          <w:p w:rsidR="007600EB" w:rsidRPr="00417083" w:rsidRDefault="007600EB" w:rsidP="007600EB">
            <w:pPr>
              <w:spacing w:before="40" w:after="40"/>
              <w:rPr>
                <w:rFonts w:ascii="Arial" w:hAnsi="Arial" w:cs="Arial"/>
                <w:b/>
                <w:bCs/>
                <w:sz w:val="16"/>
                <w:szCs w:val="16"/>
                <w:lang w:val="en-GB" w:eastAsia="en-GB"/>
              </w:rPr>
            </w:pPr>
            <w:r w:rsidRPr="00417083">
              <w:rPr>
                <w:rFonts w:ascii="Arial" w:hAnsi="Arial" w:cs="Arial"/>
                <w:b/>
                <w:bCs/>
                <w:sz w:val="16"/>
                <w:szCs w:val="16"/>
                <w:lang w:val="en-GB" w:eastAsia="en-GB"/>
              </w:rPr>
              <w:t>4.00%</w:t>
            </w:r>
          </w:p>
        </w:tc>
      </w:tr>
      <w:tr w:rsidR="007600EB" w:rsidRPr="00417083" w:rsidTr="007600EB">
        <w:trPr>
          <w:trHeight w:val="588"/>
          <w:jc w:val="center"/>
        </w:trPr>
        <w:tc>
          <w:tcPr>
            <w:tcW w:w="1440" w:type="dxa"/>
            <w:tcBorders>
              <w:top w:val="nil"/>
              <w:left w:val="single" w:sz="8" w:space="0" w:color="auto"/>
              <w:bottom w:val="single" w:sz="8" w:space="0" w:color="auto"/>
              <w:right w:val="nil"/>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Semester</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Net Income</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Total Costs</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Net Cash Flow</w:t>
            </w:r>
          </w:p>
        </w:tc>
        <w:tc>
          <w:tcPr>
            <w:tcW w:w="1240" w:type="dxa"/>
            <w:tcBorders>
              <w:top w:val="nil"/>
              <w:left w:val="nil"/>
              <w:bottom w:val="single" w:sz="8" w:space="0" w:color="auto"/>
              <w:right w:val="nil"/>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PV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7600EB" w:rsidRPr="00417083" w:rsidRDefault="007600EB" w:rsidP="00417083">
            <w:pPr>
              <w:spacing w:before="40" w:after="40"/>
              <w:jc w:val="center"/>
              <w:rPr>
                <w:rFonts w:ascii="Arial" w:hAnsi="Arial" w:cs="Arial"/>
                <w:b/>
                <w:bCs/>
                <w:sz w:val="16"/>
                <w:szCs w:val="16"/>
                <w:lang w:val="en-GB" w:eastAsia="en-GB"/>
              </w:rPr>
            </w:pPr>
            <w:r w:rsidRPr="00417083">
              <w:rPr>
                <w:rFonts w:ascii="Arial" w:hAnsi="Arial" w:cs="Arial"/>
                <w:b/>
                <w:bCs/>
                <w:sz w:val="16"/>
                <w:szCs w:val="16"/>
                <w:lang w:val="en-GB" w:eastAsia="en-GB"/>
              </w:rPr>
              <w:t>Net Present Value</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£7,380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£11,180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color w:val="FF0000"/>
                <w:sz w:val="16"/>
                <w:szCs w:val="16"/>
                <w:lang w:val="en-GB" w:eastAsia="en-GB"/>
              </w:rPr>
              <w:t>-£3,800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color w:val="FF0000"/>
                <w:sz w:val="16"/>
                <w:szCs w:val="16"/>
                <w:lang w:val="en-GB" w:eastAsia="en-GB"/>
              </w:rPr>
              <w:t>-£3,800</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£17,220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£16,030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£1,190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0.9612</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£1,144</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3</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£22,140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£15,780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£6,360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0.9423</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£5,993</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4</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0.9238</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£9</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5</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0.9057</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£9</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6</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0.8880</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£9</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7</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0.8706</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£9</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8</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0.8535</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£9</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9</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0.8368</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0.8203</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11</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0.8043</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12</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0.7885</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13</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0.7730</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14</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0.7579</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£8</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15</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0.7430</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£7</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16</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0.7284</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£7</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17</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0.7142</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417083">
            <w:pPr>
              <w:spacing w:before="40" w:after="40"/>
              <w:jc w:val="center"/>
              <w:rPr>
                <w:sz w:val="16"/>
                <w:szCs w:val="16"/>
                <w:lang w:val="en-GB" w:eastAsia="en-GB"/>
              </w:rPr>
            </w:pPr>
            <w:r w:rsidRPr="00417083">
              <w:rPr>
                <w:sz w:val="16"/>
                <w:szCs w:val="16"/>
                <w:lang w:val="en-GB" w:eastAsia="en-GB"/>
              </w:rPr>
              <w:t>£7</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18</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0.7002</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£7</w:t>
            </w:r>
          </w:p>
        </w:tc>
      </w:tr>
      <w:tr w:rsidR="007600EB" w:rsidRPr="00417083" w:rsidTr="007600EB">
        <w:trPr>
          <w:trHeight w:val="288"/>
          <w:jc w:val="center"/>
        </w:trPr>
        <w:tc>
          <w:tcPr>
            <w:tcW w:w="1440" w:type="dxa"/>
            <w:tcBorders>
              <w:top w:val="nil"/>
              <w:left w:val="single" w:sz="8" w:space="0" w:color="auto"/>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19</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£27,060</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£27,050</w:t>
            </w:r>
          </w:p>
        </w:tc>
        <w:tc>
          <w:tcPr>
            <w:tcW w:w="10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£10</w:t>
            </w:r>
          </w:p>
        </w:tc>
        <w:tc>
          <w:tcPr>
            <w:tcW w:w="1240" w:type="dxa"/>
            <w:tcBorders>
              <w:top w:val="nil"/>
              <w:left w:val="nil"/>
              <w:bottom w:val="nil"/>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0.6864</w:t>
            </w:r>
          </w:p>
        </w:tc>
        <w:tc>
          <w:tcPr>
            <w:tcW w:w="1440" w:type="dxa"/>
            <w:tcBorders>
              <w:top w:val="nil"/>
              <w:left w:val="nil"/>
              <w:bottom w:val="nil"/>
              <w:right w:val="single" w:sz="8" w:space="0" w:color="auto"/>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£7</w:t>
            </w:r>
          </w:p>
        </w:tc>
      </w:tr>
      <w:tr w:rsidR="007600EB" w:rsidRPr="00417083" w:rsidTr="007600EB">
        <w:trPr>
          <w:trHeight w:val="300"/>
          <w:jc w:val="center"/>
        </w:trPr>
        <w:tc>
          <w:tcPr>
            <w:tcW w:w="1440" w:type="dxa"/>
            <w:tcBorders>
              <w:top w:val="nil"/>
              <w:left w:val="single" w:sz="8" w:space="0" w:color="auto"/>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20</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£27,060</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£27,050</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£10</w:t>
            </w:r>
          </w:p>
        </w:tc>
        <w:tc>
          <w:tcPr>
            <w:tcW w:w="12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0.6730</w:t>
            </w:r>
          </w:p>
        </w:tc>
        <w:tc>
          <w:tcPr>
            <w:tcW w:w="1440" w:type="dxa"/>
            <w:tcBorders>
              <w:top w:val="nil"/>
              <w:left w:val="nil"/>
              <w:bottom w:val="single" w:sz="8" w:space="0" w:color="auto"/>
              <w:right w:val="single" w:sz="8" w:space="0" w:color="auto"/>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£7</w:t>
            </w:r>
          </w:p>
        </w:tc>
      </w:tr>
      <w:tr w:rsidR="007600EB" w:rsidRPr="00417083" w:rsidTr="007600EB">
        <w:trPr>
          <w:trHeight w:val="324"/>
          <w:jc w:val="center"/>
        </w:trPr>
        <w:tc>
          <w:tcPr>
            <w:tcW w:w="1440" w:type="dxa"/>
            <w:tcBorders>
              <w:top w:val="nil"/>
              <w:left w:val="single" w:sz="8" w:space="0" w:color="auto"/>
              <w:bottom w:val="single" w:sz="8" w:space="0" w:color="auto"/>
              <w:right w:val="nil"/>
            </w:tcBorders>
            <w:shd w:val="clear" w:color="auto" w:fill="auto"/>
            <w:vAlign w:val="center"/>
            <w:hideMark/>
          </w:tcPr>
          <w:p w:rsidR="007600EB" w:rsidRPr="00417083" w:rsidRDefault="007600EB" w:rsidP="007600EB">
            <w:pPr>
              <w:spacing w:before="40" w:after="40"/>
              <w:rPr>
                <w:sz w:val="16"/>
                <w:szCs w:val="16"/>
                <w:lang w:val="en-GB" w:eastAsia="en-GB"/>
              </w:rPr>
            </w:pPr>
            <w:r w:rsidRPr="00417083">
              <w:rPr>
                <w:sz w:val="16"/>
                <w:szCs w:val="16"/>
                <w:lang w:val="en-GB" w:eastAsia="en-GB"/>
              </w:rPr>
              <w:t> </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b/>
                <w:bCs/>
                <w:sz w:val="16"/>
                <w:szCs w:val="16"/>
                <w:lang w:val="en-GB" w:eastAsia="en-GB"/>
              </w:rPr>
            </w:pPr>
            <w:r w:rsidRPr="00417083">
              <w:rPr>
                <w:b/>
                <w:bCs/>
                <w:sz w:val="16"/>
                <w:szCs w:val="16"/>
                <w:lang w:val="en-GB" w:eastAsia="en-GB"/>
              </w:rPr>
              <w:t>£506,760</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b/>
                <w:bCs/>
                <w:sz w:val="16"/>
                <w:szCs w:val="16"/>
                <w:lang w:val="en-GB" w:eastAsia="en-GB"/>
              </w:rPr>
            </w:pPr>
            <w:r w:rsidRPr="00417083">
              <w:rPr>
                <w:b/>
                <w:bCs/>
                <w:sz w:val="16"/>
                <w:szCs w:val="16"/>
                <w:lang w:val="en-GB" w:eastAsia="en-GB"/>
              </w:rPr>
              <w:t>£502,840</w:t>
            </w:r>
          </w:p>
        </w:tc>
        <w:tc>
          <w:tcPr>
            <w:tcW w:w="10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b/>
                <w:bCs/>
                <w:sz w:val="16"/>
                <w:szCs w:val="16"/>
                <w:lang w:val="en-GB" w:eastAsia="en-GB"/>
              </w:rPr>
            </w:pPr>
            <w:r w:rsidRPr="00417083">
              <w:rPr>
                <w:b/>
                <w:bCs/>
                <w:sz w:val="16"/>
                <w:szCs w:val="16"/>
                <w:lang w:val="en-GB" w:eastAsia="en-GB"/>
              </w:rPr>
              <w:t>£3,920</w:t>
            </w:r>
          </w:p>
        </w:tc>
        <w:tc>
          <w:tcPr>
            <w:tcW w:w="1240" w:type="dxa"/>
            <w:tcBorders>
              <w:top w:val="nil"/>
              <w:left w:val="nil"/>
              <w:bottom w:val="single" w:sz="8" w:space="0" w:color="auto"/>
              <w:right w:val="nil"/>
            </w:tcBorders>
            <w:shd w:val="clear" w:color="auto" w:fill="auto"/>
            <w:vAlign w:val="center"/>
            <w:hideMark/>
          </w:tcPr>
          <w:p w:rsidR="007600EB" w:rsidRPr="00417083" w:rsidRDefault="007600EB" w:rsidP="007600EB">
            <w:pPr>
              <w:spacing w:before="40" w:after="40"/>
              <w:rPr>
                <w:b/>
                <w:bCs/>
                <w:sz w:val="16"/>
                <w:szCs w:val="16"/>
                <w:lang w:val="en-GB" w:eastAsia="en-GB"/>
              </w:rPr>
            </w:pPr>
            <w:r w:rsidRPr="00417083">
              <w:rPr>
                <w:b/>
                <w:bCs/>
                <w:sz w:val="16"/>
                <w:szCs w:val="16"/>
                <w:lang w:val="en-GB" w:eastAsia="en-GB"/>
              </w:rPr>
              <w:t> </w:t>
            </w:r>
          </w:p>
        </w:tc>
        <w:tc>
          <w:tcPr>
            <w:tcW w:w="1440" w:type="dxa"/>
            <w:tcBorders>
              <w:top w:val="nil"/>
              <w:left w:val="nil"/>
              <w:bottom w:val="single" w:sz="8" w:space="0" w:color="auto"/>
              <w:right w:val="single" w:sz="8" w:space="0" w:color="auto"/>
            </w:tcBorders>
            <w:shd w:val="clear" w:color="auto" w:fill="auto"/>
            <w:vAlign w:val="center"/>
            <w:hideMark/>
          </w:tcPr>
          <w:p w:rsidR="007600EB" w:rsidRPr="00417083" w:rsidRDefault="007600EB" w:rsidP="007600EB">
            <w:pPr>
              <w:spacing w:before="40" w:after="40"/>
              <w:rPr>
                <w:b/>
                <w:bCs/>
                <w:sz w:val="16"/>
                <w:szCs w:val="16"/>
                <w:lang w:val="en-GB" w:eastAsia="en-GB"/>
              </w:rPr>
            </w:pPr>
            <w:r w:rsidRPr="00417083">
              <w:rPr>
                <w:b/>
                <w:bCs/>
                <w:sz w:val="16"/>
                <w:szCs w:val="16"/>
                <w:lang w:val="en-GB" w:eastAsia="en-GB"/>
              </w:rPr>
              <w:t>£3,472</w:t>
            </w:r>
          </w:p>
        </w:tc>
      </w:tr>
    </w:tbl>
    <w:p w:rsidR="00417083" w:rsidRPr="00413BC4" w:rsidRDefault="00417083" w:rsidP="00417083">
      <w:pPr>
        <w:pStyle w:val="Heading4"/>
        <w:rPr>
          <w:lang w:val="en-GB"/>
        </w:rPr>
      </w:pPr>
      <w:r w:rsidRPr="00413BC4">
        <w:rPr>
          <w:lang w:val="en-GB"/>
        </w:rPr>
        <w:lastRenderedPageBreak/>
        <w:t xml:space="preserve">Scenario </w:t>
      </w:r>
      <w:r w:rsidR="00E50348">
        <w:rPr>
          <w:lang w:val="en-GB"/>
        </w:rPr>
        <w:t>m</w:t>
      </w:r>
      <w:r w:rsidRPr="00413BC4">
        <w:rPr>
          <w:lang w:val="en-GB"/>
        </w:rPr>
        <w:t xml:space="preserve">inimum </w:t>
      </w:r>
      <w:r w:rsidR="00E50348">
        <w:rPr>
          <w:lang w:val="en-GB"/>
        </w:rPr>
        <w:t>f</w:t>
      </w:r>
      <w:r w:rsidRPr="00413BC4">
        <w:rPr>
          <w:lang w:val="en-GB"/>
        </w:rPr>
        <w:t>ee</w:t>
      </w:r>
    </w:p>
    <w:p w:rsidR="00417083" w:rsidRDefault="00417083" w:rsidP="00417083">
      <w:pPr>
        <w:rPr>
          <w:lang w:val="en-GB"/>
        </w:rPr>
      </w:pPr>
      <w:r w:rsidRPr="00413BC4">
        <w:rPr>
          <w:lang w:val="en-GB"/>
        </w:rPr>
        <w:t>Ceteris paribus, the module fee could be reduced to £820 per module to achieve break even.</w:t>
      </w:r>
    </w:p>
    <w:p w:rsidR="007600EB" w:rsidRPr="00413BC4" w:rsidRDefault="007600EB" w:rsidP="00417083">
      <w:pPr>
        <w:pStyle w:val="Heading4"/>
        <w:rPr>
          <w:lang w:val="en-GB"/>
        </w:rPr>
      </w:pPr>
      <w:r w:rsidRPr="00413BC4">
        <w:rPr>
          <w:lang w:val="en-GB"/>
        </w:rPr>
        <w:t xml:space="preserve">Worst </w:t>
      </w:r>
      <w:r w:rsidR="00E50348">
        <w:rPr>
          <w:lang w:val="en-GB"/>
        </w:rPr>
        <w:t>c</w:t>
      </w:r>
      <w:r w:rsidRPr="00413BC4">
        <w:rPr>
          <w:lang w:val="en-GB"/>
        </w:rPr>
        <w:t xml:space="preserve">ase </w:t>
      </w:r>
      <w:r w:rsidR="00E50348">
        <w:rPr>
          <w:lang w:val="en-GB"/>
        </w:rPr>
        <w:t>s</w:t>
      </w:r>
      <w:r w:rsidRPr="00413BC4">
        <w:rPr>
          <w:lang w:val="en-GB"/>
        </w:rPr>
        <w:t xml:space="preserve">cenario.  </w:t>
      </w:r>
      <w:r w:rsidR="00E50348">
        <w:rPr>
          <w:lang w:val="en-GB"/>
        </w:rPr>
        <w:t>c</w:t>
      </w:r>
      <w:r w:rsidRPr="00413BC4">
        <w:rPr>
          <w:lang w:val="en-GB"/>
        </w:rPr>
        <w:t xml:space="preserve">ost </w:t>
      </w:r>
      <w:r w:rsidR="00E50348">
        <w:rPr>
          <w:lang w:val="en-GB"/>
        </w:rPr>
        <w:t>i</w:t>
      </w:r>
      <w:r w:rsidRPr="00413BC4">
        <w:rPr>
          <w:lang w:val="en-GB"/>
        </w:rPr>
        <w:t xml:space="preserve">ncrease, </w:t>
      </w:r>
      <w:r w:rsidR="00E50348">
        <w:rPr>
          <w:lang w:val="en-GB"/>
        </w:rPr>
        <w:t>i</w:t>
      </w:r>
      <w:r w:rsidRPr="00413BC4">
        <w:rPr>
          <w:lang w:val="en-GB"/>
        </w:rPr>
        <w:t xml:space="preserve">ncome </w:t>
      </w:r>
      <w:r w:rsidR="00E50348">
        <w:rPr>
          <w:lang w:val="en-GB"/>
        </w:rPr>
        <w:t>d</w:t>
      </w:r>
      <w:r w:rsidRPr="00413BC4">
        <w:rPr>
          <w:lang w:val="en-GB"/>
        </w:rPr>
        <w:t xml:space="preserve">ecrease. </w:t>
      </w:r>
    </w:p>
    <w:p w:rsidR="007600EB" w:rsidRDefault="007600EB" w:rsidP="007600EB">
      <w:pPr>
        <w:rPr>
          <w:lang w:val="en-GB"/>
        </w:rPr>
      </w:pPr>
      <w:r w:rsidRPr="00413BC4">
        <w:rPr>
          <w:lang w:val="en-GB"/>
        </w:rPr>
        <w:t>Development costs have been increased 4 X to £6,000 per module.  Maintenance costs increase 3 X to 24 hrs. per module.  Student recruitment is reduced to 4 students per semester.  Fee remains at £1000 p module.</w:t>
      </w:r>
    </w:p>
    <w:p w:rsidR="001541F7" w:rsidRDefault="001541F7" w:rsidP="001541F7">
      <w:pPr>
        <w:pStyle w:val="Heading5"/>
        <w:rPr>
          <w:lang w:val="en-GB"/>
        </w:rPr>
      </w:pPr>
      <w:r w:rsidRPr="00413BC4">
        <w:rPr>
          <w:lang w:val="en-GB"/>
        </w:rPr>
        <w:t>Table 9</w:t>
      </w:r>
    </w:p>
    <w:p w:rsidR="001541F7" w:rsidRPr="00413BC4" w:rsidRDefault="001541F7" w:rsidP="001541F7">
      <w:pPr>
        <w:pStyle w:val="Heading5"/>
        <w:rPr>
          <w:lang w:val="en-GB"/>
        </w:rPr>
      </w:pPr>
      <w:r w:rsidRPr="00413BC4">
        <w:rPr>
          <w:lang w:val="en-GB"/>
        </w:rPr>
        <w:t xml:space="preserve">Worst </w:t>
      </w:r>
      <w:r w:rsidR="00E50348" w:rsidRPr="00413BC4">
        <w:rPr>
          <w:lang w:val="en-GB"/>
        </w:rPr>
        <w:t>case scenario.  costs rise,</w:t>
      </w:r>
      <w:r w:rsidRPr="00413BC4">
        <w:rPr>
          <w:lang w:val="en-GB"/>
        </w:rPr>
        <w:t xml:space="preserve"> recruitment falls</w:t>
      </w:r>
    </w:p>
    <w:tbl>
      <w:tblPr>
        <w:tblW w:w="7240" w:type="dxa"/>
        <w:jc w:val="center"/>
        <w:tblLook w:val="04A0" w:firstRow="1" w:lastRow="0" w:firstColumn="1" w:lastColumn="0" w:noHBand="0" w:noVBand="1"/>
      </w:tblPr>
      <w:tblGrid>
        <w:gridCol w:w="1392"/>
        <w:gridCol w:w="1130"/>
        <w:gridCol w:w="1130"/>
        <w:gridCol w:w="1027"/>
        <w:gridCol w:w="1186"/>
        <w:gridCol w:w="1375"/>
      </w:tblGrid>
      <w:tr w:rsidR="007600EB" w:rsidRPr="00BF3A3F" w:rsidTr="007600EB">
        <w:trPr>
          <w:trHeight w:val="300"/>
          <w:jc w:val="center"/>
        </w:trPr>
        <w:tc>
          <w:tcPr>
            <w:tcW w:w="1392" w:type="dxa"/>
            <w:tcBorders>
              <w:top w:val="single" w:sz="8" w:space="0" w:color="auto"/>
              <w:left w:val="single" w:sz="8" w:space="0" w:color="auto"/>
              <w:bottom w:val="single" w:sz="8" w:space="0" w:color="auto"/>
              <w:right w:val="single" w:sz="8" w:space="0" w:color="auto"/>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10</w:t>
            </w:r>
          </w:p>
        </w:tc>
        <w:tc>
          <w:tcPr>
            <w:tcW w:w="3287" w:type="dxa"/>
            <w:gridSpan w:val="3"/>
            <w:tcBorders>
              <w:top w:val="single" w:sz="8" w:space="0" w:color="auto"/>
              <w:left w:val="nil"/>
              <w:bottom w:val="single" w:sz="8" w:space="0" w:color="auto"/>
              <w:right w:val="nil"/>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Year Discounted Cash Flow Analysis</w:t>
            </w:r>
          </w:p>
        </w:tc>
        <w:tc>
          <w:tcPr>
            <w:tcW w:w="1186" w:type="dxa"/>
            <w:tcBorders>
              <w:top w:val="single" w:sz="8" w:space="0" w:color="auto"/>
              <w:left w:val="nil"/>
              <w:bottom w:val="single" w:sz="8" w:space="0" w:color="auto"/>
              <w:right w:val="nil"/>
            </w:tcBorders>
            <w:shd w:val="clear" w:color="000000" w:fill="EEECE1"/>
            <w:vAlign w:val="center"/>
            <w:hideMark/>
          </w:tcPr>
          <w:p w:rsidR="007600EB" w:rsidRPr="00417083" w:rsidRDefault="007600EB" w:rsidP="00417083">
            <w:pPr>
              <w:jc w:val="center"/>
              <w:rPr>
                <w:rFonts w:ascii="Arial" w:hAnsi="Arial" w:cs="Arial"/>
                <w:b/>
                <w:sz w:val="16"/>
                <w:szCs w:val="16"/>
                <w:lang w:val="en-GB" w:eastAsia="en-GB"/>
              </w:rPr>
            </w:pPr>
            <w:r w:rsidRPr="00417083">
              <w:rPr>
                <w:rFonts w:ascii="Arial" w:hAnsi="Arial" w:cs="Arial"/>
                <w:b/>
                <w:sz w:val="16"/>
                <w:szCs w:val="16"/>
                <w:lang w:val="en-GB" w:eastAsia="en-GB"/>
              </w:rPr>
              <w:t>Rate</w:t>
            </w:r>
          </w:p>
        </w:tc>
        <w:tc>
          <w:tcPr>
            <w:tcW w:w="1375" w:type="dxa"/>
            <w:tcBorders>
              <w:top w:val="single" w:sz="8" w:space="0" w:color="auto"/>
              <w:left w:val="nil"/>
              <w:bottom w:val="nil"/>
              <w:right w:val="single" w:sz="8" w:space="0" w:color="auto"/>
            </w:tcBorders>
            <w:shd w:val="clear" w:color="000000" w:fill="B7DEE8"/>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4.00%</w:t>
            </w:r>
          </w:p>
        </w:tc>
      </w:tr>
      <w:tr w:rsidR="007600EB" w:rsidRPr="00BF3A3F" w:rsidTr="007600EB">
        <w:trPr>
          <w:trHeight w:val="588"/>
          <w:jc w:val="center"/>
        </w:trPr>
        <w:tc>
          <w:tcPr>
            <w:tcW w:w="1392" w:type="dxa"/>
            <w:tcBorders>
              <w:top w:val="nil"/>
              <w:left w:val="single" w:sz="8" w:space="0" w:color="auto"/>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Semester</w:t>
            </w:r>
          </w:p>
        </w:tc>
        <w:tc>
          <w:tcPr>
            <w:tcW w:w="1130"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Net Income</w:t>
            </w:r>
          </w:p>
        </w:tc>
        <w:tc>
          <w:tcPr>
            <w:tcW w:w="1130"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Total Costs</w:t>
            </w:r>
          </w:p>
        </w:tc>
        <w:tc>
          <w:tcPr>
            <w:tcW w:w="1027"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Net Cash Flow</w:t>
            </w:r>
          </w:p>
        </w:tc>
        <w:tc>
          <w:tcPr>
            <w:tcW w:w="1186" w:type="dxa"/>
            <w:tcBorders>
              <w:top w:val="nil"/>
              <w:left w:val="nil"/>
              <w:bottom w:val="single" w:sz="8" w:space="0" w:color="auto"/>
              <w:right w:val="nil"/>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PV @</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rsidR="007600EB" w:rsidRPr="00417083" w:rsidRDefault="007600EB" w:rsidP="00417083">
            <w:pPr>
              <w:jc w:val="center"/>
              <w:rPr>
                <w:rFonts w:ascii="Arial" w:hAnsi="Arial" w:cs="Arial"/>
                <w:b/>
                <w:bCs/>
                <w:sz w:val="16"/>
                <w:szCs w:val="16"/>
                <w:lang w:val="en-GB" w:eastAsia="en-GB"/>
              </w:rPr>
            </w:pPr>
            <w:r w:rsidRPr="00417083">
              <w:rPr>
                <w:rFonts w:ascii="Arial" w:hAnsi="Arial" w:cs="Arial"/>
                <w:b/>
                <w:bCs/>
                <w:sz w:val="16"/>
                <w:szCs w:val="16"/>
                <w:lang w:val="en-GB" w:eastAsia="en-GB"/>
              </w:rPr>
              <w:t>Net Present Value</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£7,200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£22,970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-£15,770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-£15,770</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2</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£16,800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£22,490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-£5,690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0.9612</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-£5,469</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3</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£21,600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£22,290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-£690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0.9423</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color w:val="FF0000"/>
                <w:sz w:val="18"/>
                <w:szCs w:val="18"/>
                <w:lang w:val="en-GB" w:eastAsia="en-GB"/>
              </w:rPr>
              <w:t>-£650</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4</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0.9238</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£1,654</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5</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0.9057</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£1,621</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6</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0.8880</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£1,589</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7</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0.8706</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£1,558</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8</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0.8535</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£1,528</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9</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0.8368</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£1,498</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0.8203</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£1,468</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11</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0.8043</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£1,440</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12</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0.7885</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£1,411</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13</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0.7730</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£1,384</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14</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0.7579</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£1,357</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15</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0.7430</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£1,330</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16</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0.7284</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£1,304</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17</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0.7142</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£1,278</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18</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0.7002</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£1,253</w:t>
            </w:r>
          </w:p>
        </w:tc>
      </w:tr>
      <w:tr w:rsidR="007600EB" w:rsidRPr="00BF3A3F" w:rsidTr="007600EB">
        <w:trPr>
          <w:trHeight w:val="288"/>
          <w:jc w:val="center"/>
        </w:trPr>
        <w:tc>
          <w:tcPr>
            <w:tcW w:w="1392" w:type="dxa"/>
            <w:tcBorders>
              <w:top w:val="nil"/>
              <w:left w:val="single" w:sz="8" w:space="0" w:color="auto"/>
              <w:bottom w:val="nil"/>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19</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nil"/>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0.6864</w:t>
            </w:r>
          </w:p>
        </w:tc>
        <w:tc>
          <w:tcPr>
            <w:tcW w:w="1375" w:type="dxa"/>
            <w:tcBorders>
              <w:top w:val="nil"/>
              <w:left w:val="nil"/>
              <w:bottom w:val="nil"/>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£1,229</w:t>
            </w:r>
          </w:p>
        </w:tc>
      </w:tr>
      <w:tr w:rsidR="007600EB" w:rsidRPr="00BF3A3F" w:rsidTr="007600EB">
        <w:trPr>
          <w:trHeight w:val="300"/>
          <w:jc w:val="center"/>
        </w:trPr>
        <w:tc>
          <w:tcPr>
            <w:tcW w:w="1392" w:type="dxa"/>
            <w:tcBorders>
              <w:top w:val="nil"/>
              <w:left w:val="single" w:sz="8" w:space="0" w:color="auto"/>
              <w:bottom w:val="single" w:sz="8" w:space="0" w:color="auto"/>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20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£26,400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£24,610</w:t>
            </w:r>
          </w:p>
        </w:tc>
        <w:tc>
          <w:tcPr>
            <w:tcW w:w="1027"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£1,790</w:t>
            </w:r>
          </w:p>
        </w:tc>
        <w:tc>
          <w:tcPr>
            <w:tcW w:w="1186"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0.6730</w:t>
            </w:r>
          </w:p>
        </w:tc>
        <w:tc>
          <w:tcPr>
            <w:tcW w:w="1375" w:type="dxa"/>
            <w:tcBorders>
              <w:top w:val="nil"/>
              <w:left w:val="nil"/>
              <w:bottom w:val="single" w:sz="8" w:space="0" w:color="auto"/>
              <w:right w:val="single" w:sz="8" w:space="0" w:color="auto"/>
            </w:tcBorders>
            <w:shd w:val="clear" w:color="auto" w:fill="auto"/>
            <w:vAlign w:val="center"/>
            <w:hideMark/>
          </w:tcPr>
          <w:p w:rsidR="007600EB" w:rsidRPr="00BF3A3F" w:rsidRDefault="007600EB" w:rsidP="00417083">
            <w:pPr>
              <w:jc w:val="center"/>
              <w:rPr>
                <w:sz w:val="18"/>
                <w:szCs w:val="18"/>
                <w:lang w:val="en-GB" w:eastAsia="en-GB"/>
              </w:rPr>
            </w:pPr>
            <w:r w:rsidRPr="00BF3A3F">
              <w:rPr>
                <w:sz w:val="18"/>
                <w:szCs w:val="18"/>
                <w:lang w:val="en-GB" w:eastAsia="en-GB"/>
              </w:rPr>
              <w:t>£1,205</w:t>
            </w:r>
          </w:p>
        </w:tc>
      </w:tr>
      <w:tr w:rsidR="007600EB" w:rsidRPr="00BF3A3F" w:rsidTr="007600EB">
        <w:trPr>
          <w:trHeight w:val="324"/>
          <w:jc w:val="center"/>
        </w:trPr>
        <w:tc>
          <w:tcPr>
            <w:tcW w:w="1392" w:type="dxa"/>
            <w:tcBorders>
              <w:top w:val="nil"/>
              <w:left w:val="single" w:sz="8" w:space="0" w:color="auto"/>
              <w:bottom w:val="single" w:sz="8" w:space="0" w:color="auto"/>
              <w:right w:val="nil"/>
            </w:tcBorders>
            <w:shd w:val="clear" w:color="auto" w:fill="auto"/>
            <w:vAlign w:val="center"/>
            <w:hideMark/>
          </w:tcPr>
          <w:p w:rsidR="007600EB" w:rsidRPr="00BF3A3F" w:rsidRDefault="007600EB" w:rsidP="007600EB">
            <w:pPr>
              <w:rPr>
                <w:sz w:val="18"/>
                <w:szCs w:val="18"/>
                <w:lang w:val="en-GB" w:eastAsia="en-GB"/>
              </w:rPr>
            </w:pPr>
            <w:r w:rsidRPr="00BF3A3F">
              <w:rPr>
                <w:sz w:val="18"/>
                <w:szCs w:val="18"/>
                <w:lang w:val="en-GB" w:eastAsia="en-GB"/>
              </w:rPr>
              <w:t> </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£494,400</w:t>
            </w:r>
          </w:p>
        </w:tc>
        <w:tc>
          <w:tcPr>
            <w:tcW w:w="1130"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£486,120</w:t>
            </w:r>
          </w:p>
        </w:tc>
        <w:tc>
          <w:tcPr>
            <w:tcW w:w="1027"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£8,280</w:t>
            </w:r>
          </w:p>
        </w:tc>
        <w:tc>
          <w:tcPr>
            <w:tcW w:w="1186" w:type="dxa"/>
            <w:tcBorders>
              <w:top w:val="nil"/>
              <w:left w:val="nil"/>
              <w:bottom w:val="single" w:sz="8" w:space="0" w:color="auto"/>
              <w:right w:val="nil"/>
            </w:tcBorders>
            <w:shd w:val="clear" w:color="auto" w:fill="auto"/>
            <w:vAlign w:val="center"/>
            <w:hideMark/>
          </w:tcPr>
          <w:p w:rsidR="007600EB" w:rsidRPr="00BF3A3F" w:rsidRDefault="007600EB" w:rsidP="00417083">
            <w:pPr>
              <w:jc w:val="center"/>
              <w:rPr>
                <w:b/>
                <w:bCs/>
                <w:sz w:val="18"/>
                <w:szCs w:val="18"/>
                <w:lang w:val="en-GB" w:eastAsia="en-GB"/>
              </w:rPr>
            </w:pPr>
          </w:p>
        </w:tc>
        <w:tc>
          <w:tcPr>
            <w:tcW w:w="1375" w:type="dxa"/>
            <w:tcBorders>
              <w:top w:val="nil"/>
              <w:left w:val="nil"/>
              <w:bottom w:val="single" w:sz="8" w:space="0" w:color="auto"/>
              <w:right w:val="single" w:sz="8" w:space="0" w:color="auto"/>
            </w:tcBorders>
            <w:shd w:val="clear" w:color="auto" w:fill="auto"/>
            <w:vAlign w:val="center"/>
            <w:hideMark/>
          </w:tcPr>
          <w:p w:rsidR="007600EB" w:rsidRPr="00BF3A3F" w:rsidRDefault="007600EB" w:rsidP="00417083">
            <w:pPr>
              <w:jc w:val="center"/>
              <w:rPr>
                <w:b/>
                <w:bCs/>
                <w:sz w:val="18"/>
                <w:szCs w:val="18"/>
                <w:lang w:val="en-GB" w:eastAsia="en-GB"/>
              </w:rPr>
            </w:pPr>
            <w:r w:rsidRPr="00BF3A3F">
              <w:rPr>
                <w:b/>
                <w:bCs/>
                <w:sz w:val="18"/>
                <w:szCs w:val="18"/>
                <w:lang w:val="en-GB" w:eastAsia="en-GB"/>
              </w:rPr>
              <w:t>£2,218</w:t>
            </w:r>
          </w:p>
        </w:tc>
      </w:tr>
    </w:tbl>
    <w:p w:rsidR="001541F7" w:rsidRDefault="001541F7" w:rsidP="007600EB">
      <w:pPr>
        <w:jc w:val="center"/>
        <w:rPr>
          <w:lang w:val="en-GB"/>
        </w:rPr>
      </w:pPr>
    </w:p>
    <w:p w:rsidR="007600EB" w:rsidRPr="00413BC4" w:rsidRDefault="007600EB" w:rsidP="007600EB">
      <w:pPr>
        <w:jc w:val="center"/>
        <w:rPr>
          <w:lang w:val="en-GB"/>
        </w:rPr>
      </w:pPr>
    </w:p>
    <w:p w:rsidR="007600EB" w:rsidRPr="00413BC4" w:rsidRDefault="007600EB" w:rsidP="007600EB">
      <w:pPr>
        <w:jc w:val="center"/>
        <w:rPr>
          <w:rFonts w:ascii="Times New Roman" w:hAnsi="Times New Roman"/>
          <w:noProof/>
          <w:szCs w:val="22"/>
          <w:lang w:val="en-GB" w:eastAsia="en-GB"/>
        </w:rPr>
      </w:pPr>
      <w:r w:rsidRPr="00413BC4">
        <w:rPr>
          <w:rFonts w:ascii="Times New Roman" w:hAnsi="Times New Roman"/>
          <w:noProof/>
          <w:szCs w:val="22"/>
        </w:rPr>
        <w:lastRenderedPageBreak/>
        <w:drawing>
          <wp:inline distT="0" distB="0" distL="0" distR="0" wp14:anchorId="241C61AB" wp14:editId="6FDB9743">
            <wp:extent cx="4550229" cy="2705100"/>
            <wp:effectExtent l="0" t="0" r="3175"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00EB" w:rsidRPr="00E50348" w:rsidRDefault="007600EB" w:rsidP="00E50348">
      <w:pPr>
        <w:pStyle w:val="Heading7"/>
        <w:ind w:left="0" w:firstLine="0"/>
        <w:jc w:val="center"/>
        <w:rPr>
          <w:sz w:val="20"/>
          <w:szCs w:val="20"/>
          <w:lang w:val="en-GB"/>
        </w:rPr>
      </w:pPr>
      <w:r w:rsidRPr="00E50348">
        <w:rPr>
          <w:noProof/>
          <w:sz w:val="20"/>
          <w:szCs w:val="20"/>
          <w:lang w:val="en-GB" w:eastAsia="en-GB"/>
        </w:rPr>
        <w:t xml:space="preserve">Fig </w:t>
      </w:r>
      <w:r w:rsidR="001541F7" w:rsidRPr="00E50348">
        <w:rPr>
          <w:noProof/>
          <w:sz w:val="20"/>
          <w:szCs w:val="20"/>
          <w:lang w:val="en-GB" w:eastAsia="en-GB"/>
        </w:rPr>
        <w:t>4</w:t>
      </w:r>
      <w:r w:rsidR="00E50348">
        <w:rPr>
          <w:noProof/>
          <w:sz w:val="20"/>
          <w:szCs w:val="20"/>
          <w:lang w:val="en-GB" w:eastAsia="en-GB"/>
        </w:rPr>
        <w:t xml:space="preserve">.  Worst case scenario. </w:t>
      </w:r>
      <w:r w:rsidR="00E50348">
        <w:rPr>
          <w:noProof/>
          <w:sz w:val="20"/>
          <w:szCs w:val="20"/>
          <w:lang w:val="en-GB" w:eastAsia="en-GB"/>
        </w:rPr>
        <w:br/>
      </w:r>
      <w:r w:rsidRPr="00E50348">
        <w:rPr>
          <w:sz w:val="20"/>
          <w:szCs w:val="20"/>
          <w:lang w:val="en-GB"/>
        </w:rPr>
        <w:t>In this scenario, a positive cash flow is still achieved in semester 4</w:t>
      </w:r>
    </w:p>
    <w:p w:rsidR="007600EB" w:rsidRPr="00413BC4" w:rsidRDefault="001541F7" w:rsidP="001541F7">
      <w:pPr>
        <w:pStyle w:val="Heading7"/>
        <w:rPr>
          <w:lang w:val="en-GB"/>
        </w:rPr>
      </w:pPr>
      <w:r w:rsidRPr="00413BC4">
        <w:rPr>
          <w:lang w:val="en-GB"/>
        </w:rPr>
        <w:t>Conclusions and future study</w:t>
      </w:r>
    </w:p>
    <w:p w:rsidR="007600EB" w:rsidRPr="00413BC4" w:rsidRDefault="007600EB" w:rsidP="007600EB">
      <w:pPr>
        <w:rPr>
          <w:lang w:eastAsia="en-GB"/>
        </w:rPr>
      </w:pPr>
      <w:r w:rsidRPr="00413BC4">
        <w:rPr>
          <w:lang w:val="en-GB"/>
        </w:rPr>
        <w:t xml:space="preserve">The stated aim of the paper was “… </w:t>
      </w:r>
      <w:r w:rsidRPr="00413BC4">
        <w:rPr>
          <w:lang w:eastAsia="en-GB"/>
        </w:rPr>
        <w:t xml:space="preserve">the creation of a model that can be used to quantify that financial case for WBDL and to calculate Return on Investment (ROI) under different circumstances”. </w:t>
      </w:r>
    </w:p>
    <w:p w:rsidR="007600EB" w:rsidRPr="00413BC4" w:rsidRDefault="007600EB" w:rsidP="007600EB">
      <w:pPr>
        <w:rPr>
          <w:lang w:eastAsia="en-GB"/>
        </w:rPr>
      </w:pPr>
      <w:r w:rsidRPr="00413BC4">
        <w:rPr>
          <w:lang w:eastAsia="en-GB"/>
        </w:rPr>
        <w:t xml:space="preserve">The purpose of the work was “… </w:t>
      </w:r>
      <w:r w:rsidRPr="00413BC4">
        <w:rPr>
          <w:lang w:val="en-GB" w:eastAsia="en-GB"/>
        </w:rPr>
        <w:t>to use published data sources to identify, and model, the costs of WBDL; thus enabling course providers and policy makers to undertake their own modelling and aid the decision making process”.</w:t>
      </w:r>
    </w:p>
    <w:p w:rsidR="007600EB" w:rsidRPr="00413BC4" w:rsidRDefault="007600EB" w:rsidP="007600EB">
      <w:pPr>
        <w:rPr>
          <w:lang w:val="en-GB"/>
        </w:rPr>
      </w:pPr>
      <w:r w:rsidRPr="00413BC4">
        <w:rPr>
          <w:lang w:val="en-GB"/>
        </w:rPr>
        <w:t>Identifying capital and revenue costs and income streams; and utilising a DCF approach, different scenarios are compared, thus permitting sensitivity analyses to be undertaken.</w:t>
      </w:r>
    </w:p>
    <w:p w:rsidR="007600EB" w:rsidRPr="00413BC4" w:rsidRDefault="007600EB" w:rsidP="007600EB">
      <w:pPr>
        <w:rPr>
          <w:lang w:val="en-GB"/>
        </w:rPr>
      </w:pPr>
      <w:r w:rsidRPr="00413BC4">
        <w:rPr>
          <w:lang w:val="en-GB"/>
        </w:rPr>
        <w:t>The financial analysis of E-Learning impacts in the following areas:</w:t>
      </w:r>
    </w:p>
    <w:p w:rsidR="007600EB" w:rsidRPr="00413BC4" w:rsidRDefault="007600EB" w:rsidP="007600EB">
      <w:pPr>
        <w:rPr>
          <w:lang w:val="en-GB"/>
        </w:rPr>
      </w:pPr>
      <w:r w:rsidRPr="00413BC4">
        <w:rPr>
          <w:lang w:val="en-GB"/>
        </w:rPr>
        <w:t>Though the cost of developing WBDL material is perceived as prohibitively high, some work identifies lower cost solutions.  When discounted over the life of the programme, moreover, the development costs are not the most significant variable affecting the viability of the course.</w:t>
      </w:r>
    </w:p>
    <w:p w:rsidR="007600EB" w:rsidRPr="00413BC4" w:rsidRDefault="007600EB" w:rsidP="007600EB">
      <w:pPr>
        <w:rPr>
          <w:lang w:val="en-GB"/>
        </w:rPr>
      </w:pPr>
      <w:r w:rsidRPr="00413BC4">
        <w:rPr>
          <w:lang w:val="en-GB"/>
        </w:rPr>
        <w:t>With even modest student numbers, a positive return is available.  At the lowest cost, break-even is possible (though not recommended) with very low student recruitment.</w:t>
      </w:r>
    </w:p>
    <w:p w:rsidR="007600EB" w:rsidRPr="00413BC4" w:rsidRDefault="007600EB" w:rsidP="007600EB">
      <w:pPr>
        <w:rPr>
          <w:lang w:val="en-GB"/>
        </w:rPr>
      </w:pPr>
      <w:r w:rsidRPr="00413BC4">
        <w:rPr>
          <w:lang w:val="en-GB"/>
        </w:rPr>
        <w:t>Student fees for WBDL course could be substantially lower than fees for traditional face to face courses.</w:t>
      </w:r>
    </w:p>
    <w:p w:rsidR="007600EB" w:rsidRPr="00413BC4" w:rsidRDefault="007600EB" w:rsidP="007600EB">
      <w:pPr>
        <w:rPr>
          <w:lang w:val="en-GB"/>
        </w:rPr>
      </w:pPr>
      <w:r w:rsidRPr="00413BC4">
        <w:rPr>
          <w:lang w:val="en-GB"/>
        </w:rPr>
        <w:t>Further research is being undertaken to identify the full Life Cycle Costs of WBDL.</w:t>
      </w:r>
    </w:p>
    <w:p w:rsidR="007600EB" w:rsidRPr="00413BC4" w:rsidRDefault="007600EB" w:rsidP="007600EB">
      <w:pPr>
        <w:rPr>
          <w:lang w:val="en-GB"/>
        </w:rPr>
      </w:pPr>
      <w:r w:rsidRPr="00413BC4">
        <w:rPr>
          <w:lang w:val="en-GB"/>
        </w:rPr>
        <w:t>Spreadsheet files may be obtained by application to the author.</w:t>
      </w:r>
    </w:p>
    <w:p w:rsidR="007600EB" w:rsidRPr="00413BC4" w:rsidRDefault="007600EB" w:rsidP="001541F7">
      <w:pPr>
        <w:pStyle w:val="Heading7"/>
      </w:pPr>
      <w:r w:rsidRPr="00413BC4">
        <w:t>References</w:t>
      </w:r>
    </w:p>
    <w:p w:rsidR="007600EB" w:rsidRPr="004505C0" w:rsidRDefault="007600EB" w:rsidP="007600EB">
      <w:pPr>
        <w:ind w:left="720" w:hanging="720"/>
        <w:rPr>
          <w:noProof/>
          <w:sz w:val="20"/>
        </w:rPr>
      </w:pPr>
      <w:r w:rsidRPr="004505C0">
        <w:rPr>
          <w:noProof/>
          <w:sz w:val="20"/>
        </w:rPr>
        <w:t xml:space="preserve">Barber, D. R. (2013). </w:t>
      </w:r>
      <w:r w:rsidRPr="004505C0">
        <w:rPr>
          <w:i/>
          <w:iCs/>
          <w:noProof/>
          <w:sz w:val="20"/>
        </w:rPr>
        <w:t>An Avalanche is Coming. Higher Education and the Revolution Ahead.</w:t>
      </w:r>
      <w:r w:rsidRPr="004505C0">
        <w:rPr>
          <w:noProof/>
          <w:sz w:val="20"/>
        </w:rPr>
        <w:t xml:space="preserve"> London: Institute for Public Policy Research.</w:t>
      </w:r>
    </w:p>
    <w:p w:rsidR="007600EB" w:rsidRPr="004505C0" w:rsidRDefault="007600EB" w:rsidP="007600EB">
      <w:pPr>
        <w:ind w:left="720" w:hanging="720"/>
        <w:rPr>
          <w:noProof/>
          <w:sz w:val="20"/>
        </w:rPr>
      </w:pPr>
      <w:r w:rsidRPr="004505C0">
        <w:rPr>
          <w:noProof/>
          <w:sz w:val="20"/>
        </w:rPr>
        <w:t xml:space="preserve">Bartolci-Zlomislic. (1999). Investing in On-Line Learning: Potential Benfits and Limitations. </w:t>
      </w:r>
      <w:r w:rsidRPr="004505C0">
        <w:rPr>
          <w:i/>
          <w:iCs/>
          <w:noProof/>
          <w:sz w:val="20"/>
        </w:rPr>
        <w:t>Canadian Journal of Communication</w:t>
      </w:r>
      <w:r w:rsidRPr="004505C0">
        <w:rPr>
          <w:noProof/>
          <w:sz w:val="20"/>
        </w:rPr>
        <w:t>, Vol 24 no 3.</w:t>
      </w:r>
    </w:p>
    <w:p w:rsidR="007600EB" w:rsidRPr="004505C0" w:rsidRDefault="007600EB" w:rsidP="007600EB">
      <w:pPr>
        <w:ind w:left="720" w:hanging="720"/>
        <w:rPr>
          <w:noProof/>
          <w:sz w:val="20"/>
        </w:rPr>
      </w:pPr>
      <w:r w:rsidRPr="004505C0">
        <w:rPr>
          <w:noProof/>
          <w:sz w:val="20"/>
        </w:rPr>
        <w:lastRenderedPageBreak/>
        <w:t xml:space="preserve">BCIS. (2008). </w:t>
      </w:r>
      <w:r w:rsidRPr="004505C0">
        <w:rPr>
          <w:i/>
          <w:iCs/>
          <w:noProof/>
          <w:sz w:val="20"/>
        </w:rPr>
        <w:t>ISO 15686.</w:t>
      </w:r>
      <w:r w:rsidRPr="004505C0">
        <w:rPr>
          <w:noProof/>
          <w:sz w:val="20"/>
        </w:rPr>
        <w:t xml:space="preserve"> London: Building Cost Information Service.</w:t>
      </w:r>
    </w:p>
    <w:p w:rsidR="00A563CD" w:rsidRPr="004505C0" w:rsidRDefault="007600EB" w:rsidP="007600EB">
      <w:pPr>
        <w:ind w:left="720" w:hanging="720"/>
        <w:rPr>
          <w:noProof/>
          <w:sz w:val="20"/>
        </w:rPr>
      </w:pPr>
      <w:r w:rsidRPr="004505C0">
        <w:rPr>
          <w:noProof/>
          <w:sz w:val="20"/>
        </w:rPr>
        <w:t xml:space="preserve">Boetcher. (2013). </w:t>
      </w:r>
      <w:r w:rsidRPr="004505C0">
        <w:rPr>
          <w:i/>
          <w:iCs/>
          <w:noProof/>
          <w:sz w:val="20"/>
        </w:rPr>
        <w:t>How Much Does it Cost To Develop a Distance Learning Course? It All Depends.</w:t>
      </w:r>
      <w:r w:rsidRPr="004505C0">
        <w:rPr>
          <w:noProof/>
          <w:sz w:val="20"/>
        </w:rPr>
        <w:t xml:space="preserve"> Retrieved Feb 20, 2013, from Designing for Learning: </w:t>
      </w:r>
      <w:hyperlink r:id="rId46" w:history="1">
        <w:r w:rsidR="00A563CD" w:rsidRPr="009A6BD3">
          <w:rPr>
            <w:rStyle w:val="Hyperlink"/>
            <w:noProof/>
            <w:sz w:val="20"/>
          </w:rPr>
          <w:t>www.designingforlearning.info/services/writing/dlmay.htm</w:t>
        </w:r>
      </w:hyperlink>
    </w:p>
    <w:p w:rsidR="007600EB" w:rsidRPr="004505C0" w:rsidRDefault="007600EB" w:rsidP="007600EB">
      <w:pPr>
        <w:ind w:left="720" w:hanging="720"/>
        <w:rPr>
          <w:noProof/>
          <w:sz w:val="20"/>
        </w:rPr>
      </w:pPr>
      <w:r w:rsidRPr="004505C0">
        <w:rPr>
          <w:i/>
          <w:iCs/>
          <w:noProof/>
          <w:sz w:val="20"/>
        </w:rPr>
        <w:t>Building Cost Information Service</w:t>
      </w:r>
      <w:r w:rsidRPr="004505C0">
        <w:rPr>
          <w:noProof/>
          <w:sz w:val="20"/>
        </w:rPr>
        <w:t>. (n.d.). Retrieved September 20, 2014, from BCIS.</w:t>
      </w:r>
    </w:p>
    <w:p w:rsidR="007600EB" w:rsidRPr="004505C0" w:rsidRDefault="007600EB" w:rsidP="007600EB">
      <w:pPr>
        <w:ind w:left="720" w:hanging="720"/>
        <w:rPr>
          <w:noProof/>
          <w:sz w:val="20"/>
        </w:rPr>
      </w:pPr>
      <w:r w:rsidRPr="004505C0">
        <w:rPr>
          <w:noProof/>
          <w:sz w:val="20"/>
        </w:rPr>
        <w:t xml:space="preserve">EU Education and Culture Council. (2013). </w:t>
      </w:r>
      <w:r w:rsidRPr="004505C0">
        <w:rPr>
          <w:i/>
          <w:iCs/>
          <w:noProof/>
          <w:sz w:val="20"/>
        </w:rPr>
        <w:t>Opening Up Education.</w:t>
      </w:r>
      <w:r w:rsidRPr="004505C0">
        <w:rPr>
          <w:noProof/>
          <w:sz w:val="20"/>
        </w:rPr>
        <w:t xml:space="preserve"> European Union. Brussels: EU Publication.</w:t>
      </w:r>
    </w:p>
    <w:p w:rsidR="007600EB" w:rsidRPr="004505C0" w:rsidRDefault="007600EB" w:rsidP="007600EB">
      <w:pPr>
        <w:ind w:left="720" w:hanging="720"/>
        <w:rPr>
          <w:noProof/>
          <w:sz w:val="20"/>
        </w:rPr>
      </w:pPr>
      <w:r w:rsidRPr="004505C0">
        <w:rPr>
          <w:noProof/>
          <w:sz w:val="20"/>
        </w:rPr>
        <w:t xml:space="preserve">Garbett. (2010). Activity Based Costing Models of Modes of Delivery of Modules. </w:t>
      </w:r>
      <w:r w:rsidRPr="004505C0">
        <w:rPr>
          <w:i/>
          <w:iCs/>
          <w:noProof/>
          <w:sz w:val="20"/>
        </w:rPr>
        <w:t>European Journal of Open and Distance Learning</w:t>
      </w:r>
      <w:r w:rsidRPr="004505C0">
        <w:rPr>
          <w:noProof/>
          <w:sz w:val="20"/>
        </w:rPr>
        <w:t>.</w:t>
      </w:r>
    </w:p>
    <w:p w:rsidR="007600EB" w:rsidRPr="004505C0" w:rsidRDefault="007600EB" w:rsidP="007600EB">
      <w:pPr>
        <w:ind w:left="720" w:hanging="720"/>
        <w:rPr>
          <w:noProof/>
          <w:sz w:val="20"/>
        </w:rPr>
      </w:pPr>
      <w:r w:rsidRPr="004505C0">
        <w:rPr>
          <w:noProof/>
          <w:sz w:val="20"/>
        </w:rPr>
        <w:t xml:space="preserve">Garbett. (2012). Activity-Based Costing Models for Developing On-Line Distance Learning Courses. A Case Study . </w:t>
      </w:r>
      <w:r w:rsidRPr="004505C0">
        <w:rPr>
          <w:i/>
          <w:iCs/>
          <w:noProof/>
          <w:sz w:val="20"/>
        </w:rPr>
        <w:t>International Journal of Instructional technology and Distance Learning</w:t>
      </w:r>
      <w:r w:rsidRPr="004505C0">
        <w:rPr>
          <w:noProof/>
          <w:sz w:val="20"/>
        </w:rPr>
        <w:t>, Vol 9 no 9.</w:t>
      </w:r>
    </w:p>
    <w:p w:rsidR="007600EB" w:rsidRPr="004505C0" w:rsidRDefault="007600EB" w:rsidP="007600EB">
      <w:pPr>
        <w:ind w:left="720" w:hanging="720"/>
        <w:rPr>
          <w:noProof/>
          <w:sz w:val="20"/>
        </w:rPr>
      </w:pPr>
      <w:r w:rsidRPr="004505C0">
        <w:rPr>
          <w:noProof/>
          <w:sz w:val="20"/>
        </w:rPr>
        <w:t xml:space="preserve">Group, J. C. (2010). </w:t>
      </w:r>
      <w:r w:rsidRPr="004505C0">
        <w:rPr>
          <w:i/>
          <w:iCs/>
          <w:noProof/>
          <w:sz w:val="20"/>
        </w:rPr>
        <w:t>Developing a Pricing Strategy in Higher Education Institutions.</w:t>
      </w:r>
      <w:r w:rsidRPr="004505C0">
        <w:rPr>
          <w:noProof/>
          <w:sz w:val="20"/>
        </w:rPr>
        <w:t xml:space="preserve"> London: Higher Education Funding Council for England (HEFCE).</w:t>
      </w:r>
    </w:p>
    <w:p w:rsidR="007600EB" w:rsidRPr="004505C0" w:rsidRDefault="007600EB" w:rsidP="007600EB">
      <w:pPr>
        <w:ind w:left="720" w:hanging="720"/>
        <w:rPr>
          <w:noProof/>
          <w:sz w:val="20"/>
        </w:rPr>
      </w:pPr>
      <w:r w:rsidRPr="004505C0">
        <w:rPr>
          <w:noProof/>
          <w:sz w:val="20"/>
        </w:rPr>
        <w:t xml:space="preserve">Hane N, L. S. (2008, April). E-learning as a Regional Policy Tool: Principles for a Cost-benefit Analysis in monograph The Economics of on-line Learning. </w:t>
      </w:r>
      <w:r w:rsidRPr="004505C0">
        <w:rPr>
          <w:i/>
          <w:iCs/>
          <w:noProof/>
          <w:sz w:val="20"/>
        </w:rPr>
        <w:t>Revista de Universidad y Sociedad del Conociamento</w:t>
      </w:r>
      <w:r w:rsidRPr="004505C0">
        <w:rPr>
          <w:noProof/>
          <w:sz w:val="20"/>
        </w:rPr>
        <w:t>, 13-20.</w:t>
      </w:r>
    </w:p>
    <w:p w:rsidR="007600EB" w:rsidRPr="004505C0" w:rsidRDefault="007600EB" w:rsidP="007600EB">
      <w:pPr>
        <w:ind w:left="720" w:hanging="720"/>
        <w:rPr>
          <w:noProof/>
          <w:sz w:val="20"/>
        </w:rPr>
      </w:pPr>
      <w:r w:rsidRPr="004505C0">
        <w:rPr>
          <w:noProof/>
          <w:sz w:val="20"/>
        </w:rPr>
        <w:t xml:space="preserve">HEFCE. (2010). </w:t>
      </w:r>
      <w:r w:rsidRPr="004505C0">
        <w:rPr>
          <w:i/>
          <w:iCs/>
          <w:noProof/>
          <w:sz w:val="20"/>
        </w:rPr>
        <w:t>Transparent Approach to Costing (TRAC) Guidance.</w:t>
      </w:r>
      <w:r w:rsidRPr="004505C0">
        <w:rPr>
          <w:noProof/>
          <w:sz w:val="20"/>
        </w:rPr>
        <w:t xml:space="preserve"> London: Higher Education Funding Council for England.</w:t>
      </w:r>
    </w:p>
    <w:p w:rsidR="007600EB" w:rsidRPr="004505C0" w:rsidRDefault="007600EB" w:rsidP="007600EB">
      <w:pPr>
        <w:ind w:left="720" w:hanging="720"/>
        <w:rPr>
          <w:noProof/>
          <w:sz w:val="20"/>
        </w:rPr>
      </w:pPr>
      <w:r w:rsidRPr="004505C0">
        <w:rPr>
          <w:noProof/>
          <w:sz w:val="20"/>
        </w:rPr>
        <w:t xml:space="preserve">Hoosen, B. (2012). </w:t>
      </w:r>
      <w:r w:rsidRPr="004505C0">
        <w:rPr>
          <w:i/>
          <w:iCs/>
          <w:noProof/>
          <w:sz w:val="20"/>
        </w:rPr>
        <w:t>Exploring the Business Case for Open Education Resources.</w:t>
      </w:r>
      <w:r w:rsidRPr="004505C0">
        <w:rPr>
          <w:noProof/>
          <w:sz w:val="20"/>
        </w:rPr>
        <w:t xml:space="preserve"> Vancouver: Commonwealth of Learning.</w:t>
      </w:r>
    </w:p>
    <w:p w:rsidR="007600EB" w:rsidRPr="004505C0" w:rsidRDefault="007600EB" w:rsidP="007600EB">
      <w:pPr>
        <w:ind w:left="720" w:hanging="720"/>
        <w:rPr>
          <w:noProof/>
          <w:sz w:val="20"/>
        </w:rPr>
      </w:pPr>
      <w:r w:rsidRPr="004505C0">
        <w:rPr>
          <w:noProof/>
          <w:sz w:val="20"/>
        </w:rPr>
        <w:t xml:space="preserve">Jovanovic, I. (2012). Strategy of Reducing Expenses by Introducing E-Learning in University Level Education Institutions. </w:t>
      </w:r>
      <w:r w:rsidRPr="004505C0">
        <w:rPr>
          <w:i/>
          <w:iCs/>
          <w:noProof/>
          <w:sz w:val="20"/>
        </w:rPr>
        <w:t>Serbian Journal of Management</w:t>
      </w:r>
      <w:r w:rsidRPr="004505C0">
        <w:rPr>
          <w:noProof/>
          <w:sz w:val="20"/>
        </w:rPr>
        <w:t>, Vol 7 Iss 1.</w:t>
      </w:r>
    </w:p>
    <w:p w:rsidR="007600EB" w:rsidRPr="004505C0" w:rsidRDefault="007600EB" w:rsidP="007600EB">
      <w:pPr>
        <w:ind w:left="720" w:hanging="720"/>
        <w:rPr>
          <w:noProof/>
          <w:sz w:val="20"/>
        </w:rPr>
      </w:pPr>
      <w:r w:rsidRPr="004505C0">
        <w:rPr>
          <w:noProof/>
          <w:sz w:val="20"/>
        </w:rPr>
        <w:t xml:space="preserve">Laurillard. (2007). Modelling Benefits-orintated costs for technology enhanced learning. </w:t>
      </w:r>
      <w:r w:rsidRPr="004505C0">
        <w:rPr>
          <w:i/>
          <w:iCs/>
          <w:noProof/>
          <w:sz w:val="20"/>
        </w:rPr>
        <w:t>Higher Education</w:t>
      </w:r>
      <w:r w:rsidRPr="004505C0">
        <w:rPr>
          <w:noProof/>
          <w:sz w:val="20"/>
        </w:rPr>
        <w:t>, 21-39.</w:t>
      </w:r>
    </w:p>
    <w:p w:rsidR="007600EB" w:rsidRPr="004505C0" w:rsidRDefault="007600EB" w:rsidP="007600EB">
      <w:pPr>
        <w:ind w:left="720" w:hanging="720"/>
        <w:rPr>
          <w:noProof/>
          <w:sz w:val="20"/>
        </w:rPr>
      </w:pPr>
      <w:r w:rsidRPr="004505C0">
        <w:rPr>
          <w:noProof/>
          <w:sz w:val="20"/>
        </w:rPr>
        <w:t xml:space="preserve">Madison, J. (1822). </w:t>
      </w:r>
      <w:r w:rsidRPr="004505C0">
        <w:rPr>
          <w:i/>
          <w:iCs/>
          <w:noProof/>
          <w:sz w:val="20"/>
        </w:rPr>
        <w:t>Letter to WT Barry in "The Writings of James Madison" ed Hunt G.</w:t>
      </w:r>
      <w:r w:rsidRPr="004505C0">
        <w:rPr>
          <w:noProof/>
          <w:sz w:val="20"/>
        </w:rPr>
        <w:t xml:space="preserve"> New York: GP Putnam.</w:t>
      </w:r>
    </w:p>
    <w:p w:rsidR="007600EB" w:rsidRPr="004505C0" w:rsidRDefault="007600EB" w:rsidP="007600EB">
      <w:pPr>
        <w:ind w:left="720" w:hanging="720"/>
        <w:rPr>
          <w:noProof/>
          <w:sz w:val="20"/>
        </w:rPr>
      </w:pPr>
      <w:r w:rsidRPr="004505C0">
        <w:rPr>
          <w:noProof/>
          <w:sz w:val="20"/>
        </w:rPr>
        <w:t xml:space="preserve">Moore, M. (2002). </w:t>
      </w:r>
      <w:r w:rsidRPr="004505C0">
        <w:rPr>
          <w:i/>
          <w:iCs/>
          <w:noProof/>
          <w:sz w:val="20"/>
        </w:rPr>
        <w:t>Preface to Information and Communication Technologies in Distance Education.</w:t>
      </w:r>
      <w:r w:rsidRPr="004505C0">
        <w:rPr>
          <w:noProof/>
          <w:sz w:val="20"/>
        </w:rPr>
        <w:t xml:space="preserve"> Washington: UNESCO Institute for Information Technologies in Education,.</w:t>
      </w:r>
    </w:p>
    <w:p w:rsidR="007600EB" w:rsidRPr="004505C0" w:rsidRDefault="007600EB" w:rsidP="007600EB">
      <w:pPr>
        <w:ind w:left="720" w:hanging="720"/>
        <w:rPr>
          <w:noProof/>
          <w:sz w:val="20"/>
        </w:rPr>
      </w:pPr>
      <w:r w:rsidRPr="004505C0">
        <w:rPr>
          <w:noProof/>
          <w:sz w:val="20"/>
        </w:rPr>
        <w:t xml:space="preserve">Morgan. (2001). Is Distance Learning Worth It? Helping To Determine the Costs of Online Courses. </w:t>
      </w:r>
      <w:r w:rsidRPr="004505C0">
        <w:rPr>
          <w:i/>
          <w:iCs/>
          <w:noProof/>
          <w:sz w:val="20"/>
        </w:rPr>
        <w:t>Masters Thesis</w:t>
      </w:r>
      <w:r w:rsidRPr="004505C0">
        <w:rPr>
          <w:noProof/>
          <w:sz w:val="20"/>
        </w:rPr>
        <w:t>. Huntington, West Virginia: Marshall University.</w:t>
      </w:r>
    </w:p>
    <w:p w:rsidR="007600EB" w:rsidRPr="004505C0" w:rsidRDefault="007600EB" w:rsidP="007600EB">
      <w:pPr>
        <w:ind w:left="720" w:hanging="720"/>
        <w:rPr>
          <w:noProof/>
          <w:sz w:val="20"/>
        </w:rPr>
      </w:pPr>
      <w:r w:rsidRPr="004505C0">
        <w:rPr>
          <w:noProof/>
          <w:sz w:val="20"/>
        </w:rPr>
        <w:t xml:space="preserve">News, B. (2013, March 11). </w:t>
      </w:r>
      <w:r w:rsidRPr="004505C0">
        <w:rPr>
          <w:i/>
          <w:iCs/>
          <w:noProof/>
          <w:sz w:val="20"/>
        </w:rPr>
        <w:t>BBC News Education and Family</w:t>
      </w:r>
      <w:r w:rsidRPr="004505C0">
        <w:rPr>
          <w:noProof/>
          <w:sz w:val="20"/>
        </w:rPr>
        <w:t>. Retrieved Sept 20, 2014, from BBC News: http://www.bbc.co.uk/news/education-21670959</w:t>
      </w:r>
    </w:p>
    <w:p w:rsidR="007600EB" w:rsidRPr="004505C0" w:rsidRDefault="007600EB" w:rsidP="007600EB">
      <w:pPr>
        <w:ind w:left="720" w:hanging="720"/>
        <w:rPr>
          <w:noProof/>
          <w:sz w:val="20"/>
        </w:rPr>
      </w:pPr>
      <w:r w:rsidRPr="004505C0">
        <w:rPr>
          <w:noProof/>
          <w:sz w:val="20"/>
        </w:rPr>
        <w:t xml:space="preserve">Newsletter, O. U. (2010, July 38). Allowance for Marking Assessments. </w:t>
      </w:r>
      <w:r w:rsidRPr="004505C0">
        <w:rPr>
          <w:i/>
          <w:iCs/>
          <w:noProof/>
          <w:sz w:val="20"/>
        </w:rPr>
        <w:t>Snowball. Newsletter for Associate Lecturers in the Open University</w:t>
      </w:r>
      <w:r w:rsidRPr="004505C0">
        <w:rPr>
          <w:noProof/>
          <w:sz w:val="20"/>
        </w:rPr>
        <w:t>.</w:t>
      </w:r>
    </w:p>
    <w:p w:rsidR="007600EB" w:rsidRPr="004505C0" w:rsidRDefault="007600EB" w:rsidP="007600EB">
      <w:pPr>
        <w:ind w:left="720" w:hanging="720"/>
        <w:rPr>
          <w:noProof/>
          <w:sz w:val="20"/>
        </w:rPr>
      </w:pPr>
      <w:r w:rsidRPr="004505C0">
        <w:rPr>
          <w:noProof/>
          <w:sz w:val="20"/>
        </w:rPr>
        <w:t xml:space="preserve">Piketty, T. (2014). </w:t>
      </w:r>
      <w:r w:rsidRPr="004505C0">
        <w:rPr>
          <w:i/>
          <w:iCs/>
          <w:noProof/>
          <w:sz w:val="20"/>
        </w:rPr>
        <w:t>Capital in the Twenty-First Century.</w:t>
      </w:r>
      <w:r w:rsidRPr="004505C0">
        <w:rPr>
          <w:noProof/>
          <w:sz w:val="20"/>
        </w:rPr>
        <w:t xml:space="preserve"> Cambridge, Mass: Harvard University Press.</w:t>
      </w:r>
    </w:p>
    <w:p w:rsidR="007600EB" w:rsidRPr="004505C0" w:rsidRDefault="007600EB" w:rsidP="007600EB">
      <w:pPr>
        <w:ind w:left="720" w:hanging="720"/>
        <w:rPr>
          <w:noProof/>
          <w:sz w:val="20"/>
        </w:rPr>
      </w:pPr>
      <w:r w:rsidRPr="004505C0">
        <w:rPr>
          <w:noProof/>
          <w:sz w:val="20"/>
        </w:rPr>
        <w:t xml:space="preserve">Price, M. M. (1999). Why do Educators Embrace High-Cost Technologies? </w:t>
      </w:r>
      <w:r w:rsidRPr="004505C0">
        <w:rPr>
          <w:i/>
          <w:iCs/>
          <w:noProof/>
          <w:sz w:val="20"/>
        </w:rPr>
        <w:t>Online Journal of Distance Learning Adminstration</w:t>
      </w:r>
      <w:r w:rsidRPr="004505C0">
        <w:rPr>
          <w:noProof/>
          <w:sz w:val="20"/>
        </w:rPr>
        <w:t>, Vol 2.</w:t>
      </w:r>
    </w:p>
    <w:p w:rsidR="007600EB" w:rsidRPr="004505C0" w:rsidRDefault="007600EB" w:rsidP="007600EB">
      <w:pPr>
        <w:ind w:left="720" w:hanging="720"/>
        <w:rPr>
          <w:noProof/>
          <w:sz w:val="20"/>
        </w:rPr>
      </w:pPr>
      <w:r w:rsidRPr="004505C0">
        <w:rPr>
          <w:noProof/>
          <w:sz w:val="20"/>
        </w:rPr>
        <w:t xml:space="preserve">Rumble. (2012). Financial Management of Distance Learning in Dual Mode Institutions. </w:t>
      </w:r>
      <w:r w:rsidRPr="004505C0">
        <w:rPr>
          <w:i/>
          <w:iCs/>
          <w:noProof/>
          <w:sz w:val="20"/>
        </w:rPr>
        <w:t>Open Learning: The Journal of Open, Distance and E-Learning, 27</w:t>
      </w:r>
      <w:r w:rsidRPr="004505C0">
        <w:rPr>
          <w:noProof/>
          <w:sz w:val="20"/>
        </w:rPr>
        <w:t>(1), 37-51.</w:t>
      </w:r>
    </w:p>
    <w:p w:rsidR="007600EB" w:rsidRPr="004505C0" w:rsidRDefault="007600EB" w:rsidP="007600EB">
      <w:pPr>
        <w:ind w:left="720" w:hanging="720"/>
        <w:rPr>
          <w:noProof/>
          <w:sz w:val="20"/>
        </w:rPr>
      </w:pPr>
      <w:r w:rsidRPr="004505C0">
        <w:rPr>
          <w:noProof/>
          <w:sz w:val="20"/>
        </w:rPr>
        <w:t xml:space="preserve">Rumble, G. (1997). </w:t>
      </w:r>
      <w:r w:rsidRPr="004505C0">
        <w:rPr>
          <w:i/>
          <w:iCs/>
          <w:noProof/>
          <w:sz w:val="20"/>
        </w:rPr>
        <w:t>The Costs and Economics of Open and Distance Learning.</w:t>
      </w:r>
      <w:r w:rsidRPr="004505C0">
        <w:rPr>
          <w:noProof/>
          <w:sz w:val="20"/>
        </w:rPr>
        <w:t xml:space="preserve"> London: Kogan Page.</w:t>
      </w:r>
    </w:p>
    <w:p w:rsidR="007600EB" w:rsidRPr="004505C0" w:rsidRDefault="007600EB" w:rsidP="007600EB">
      <w:pPr>
        <w:ind w:left="720" w:hanging="720"/>
        <w:rPr>
          <w:noProof/>
          <w:sz w:val="20"/>
        </w:rPr>
      </w:pPr>
      <w:r w:rsidRPr="004505C0">
        <w:rPr>
          <w:noProof/>
          <w:sz w:val="20"/>
        </w:rPr>
        <w:t>Sharma, K. (2011). Financial implications of implementing an e</w:t>
      </w:r>
      <w:r w:rsidRPr="004505C0">
        <w:rPr>
          <w:rFonts w:ascii="Cambria Math" w:hAnsi="Cambria Math" w:cs="Cambria Math"/>
          <w:noProof/>
          <w:sz w:val="20"/>
        </w:rPr>
        <w:t>‐</w:t>
      </w:r>
      <w:r w:rsidRPr="004505C0">
        <w:rPr>
          <w:noProof/>
          <w:sz w:val="20"/>
        </w:rPr>
        <w:t xml:space="preserve">learning project. </w:t>
      </w:r>
      <w:r w:rsidRPr="004505C0">
        <w:rPr>
          <w:i/>
          <w:iCs/>
          <w:noProof/>
          <w:sz w:val="20"/>
        </w:rPr>
        <w:t>Journal of European Industrial Training</w:t>
      </w:r>
      <w:r w:rsidRPr="004505C0">
        <w:rPr>
          <w:noProof/>
          <w:sz w:val="20"/>
        </w:rPr>
        <w:t xml:space="preserve">, </w:t>
      </w:r>
      <w:r w:rsidR="0055157A">
        <w:rPr>
          <w:noProof/>
          <w:sz w:val="20"/>
        </w:rPr>
        <w:t xml:space="preserve">Vol. </w:t>
      </w:r>
      <w:r w:rsidRPr="004505C0">
        <w:rPr>
          <w:noProof/>
          <w:sz w:val="20"/>
        </w:rPr>
        <w:t>35 Iss: 7, pp.658 - 686.</w:t>
      </w:r>
    </w:p>
    <w:p w:rsidR="007600EB" w:rsidRPr="00413BC4" w:rsidRDefault="007600EB" w:rsidP="007600EB">
      <w:pPr>
        <w:ind w:left="720" w:hanging="720"/>
      </w:pPr>
      <w:r w:rsidRPr="004505C0">
        <w:rPr>
          <w:noProof/>
          <w:sz w:val="20"/>
        </w:rPr>
        <w:t xml:space="preserve">Yin. (1994). Case Study Research Design and Methods. </w:t>
      </w:r>
      <w:r w:rsidRPr="004505C0">
        <w:rPr>
          <w:i/>
          <w:iCs/>
          <w:noProof/>
          <w:sz w:val="20"/>
        </w:rPr>
        <w:t>Applied Social Research Methods</w:t>
      </w:r>
      <w:r w:rsidRPr="004505C0">
        <w:rPr>
          <w:noProof/>
          <w:sz w:val="20"/>
        </w:rPr>
        <w:t>, Vol 5.</w:t>
      </w:r>
    </w:p>
    <w:p w:rsidR="007600EB" w:rsidRDefault="007600EB" w:rsidP="001541F7">
      <w:pPr>
        <w:pStyle w:val="Heading7"/>
      </w:pPr>
      <w:r>
        <w:br w:type="page"/>
      </w:r>
      <w:r>
        <w:lastRenderedPageBreak/>
        <w:t xml:space="preserve">About the </w:t>
      </w:r>
      <w:r w:rsidR="00A563CD">
        <w:t>a</w:t>
      </w:r>
      <w:r>
        <w:t>uthor</w:t>
      </w:r>
    </w:p>
    <w:tbl>
      <w:tblPr>
        <w:tblW w:w="0" w:type="auto"/>
        <w:tblLook w:val="04A0" w:firstRow="1" w:lastRow="0" w:firstColumn="1" w:lastColumn="0" w:noHBand="0" w:noVBand="1"/>
      </w:tblPr>
      <w:tblGrid>
        <w:gridCol w:w="3456"/>
        <w:gridCol w:w="5184"/>
      </w:tblGrid>
      <w:tr w:rsidR="007600EB" w:rsidTr="007600EB">
        <w:tc>
          <w:tcPr>
            <w:tcW w:w="3348" w:type="dxa"/>
            <w:shd w:val="clear" w:color="auto" w:fill="auto"/>
          </w:tcPr>
          <w:p w:rsidR="007600EB" w:rsidRDefault="007600EB" w:rsidP="007600EB">
            <w:r w:rsidRPr="00413BC4">
              <w:rPr>
                <w:noProof/>
              </w:rPr>
              <w:drawing>
                <wp:inline distT="0" distB="0" distL="0" distR="0" wp14:anchorId="5646E3BE" wp14:editId="789BDA58">
                  <wp:extent cx="2051685" cy="1447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1685" cy="1447800"/>
                          </a:xfrm>
                          <a:prstGeom prst="rect">
                            <a:avLst/>
                          </a:prstGeom>
                          <a:noFill/>
                          <a:ln>
                            <a:noFill/>
                          </a:ln>
                        </pic:spPr>
                      </pic:pic>
                    </a:graphicData>
                  </a:graphic>
                </wp:inline>
              </w:drawing>
            </w:r>
          </w:p>
        </w:tc>
        <w:tc>
          <w:tcPr>
            <w:tcW w:w="5508" w:type="dxa"/>
            <w:shd w:val="clear" w:color="auto" w:fill="auto"/>
          </w:tcPr>
          <w:p w:rsidR="007600EB" w:rsidRPr="00413BC4" w:rsidRDefault="007600EB" w:rsidP="007600EB">
            <w:r w:rsidRPr="001541F7">
              <w:rPr>
                <w:rFonts w:ascii="Arial" w:hAnsi="Arial" w:cs="Arial"/>
                <w:b/>
                <w:sz w:val="24"/>
                <w:szCs w:val="24"/>
              </w:rPr>
              <w:t>Chris Garbett</w:t>
            </w:r>
            <w:r w:rsidRPr="00413BC4">
              <w:t xml:space="preserve">, BSc, MSc, FRICS, FHEA.  School of the Built Environment and Engineering, Faculty TEL Leader, Faculty of Arts Environment and Technology, Leeds Beckett University. </w:t>
            </w:r>
          </w:p>
          <w:p w:rsidR="007600EB" w:rsidRPr="00413BC4" w:rsidRDefault="007600EB" w:rsidP="007600EB">
            <w:r w:rsidRPr="00413BC4">
              <w:t>Chris has been developing and delivering on-line courses for both Leeds Beckett University and for the Open University for several years.  The Leeds Beckett MSc Facilities Management is believed to be the world’s first fully online MSc.</w:t>
            </w:r>
          </w:p>
          <w:p w:rsidR="007600EB" w:rsidRPr="00413BC4" w:rsidRDefault="007600EB" w:rsidP="007600EB">
            <w:r w:rsidRPr="00413BC4">
              <w:t>Chris has written extensively and presented conference papers on aspects of E-Learning.</w:t>
            </w:r>
          </w:p>
          <w:p w:rsidR="007600EB" w:rsidRDefault="007600EB" w:rsidP="007600EB">
            <w:r w:rsidRPr="00413BC4">
              <w:t xml:space="preserve">Email: </w:t>
            </w:r>
            <w:hyperlink r:id="rId48" w:history="1">
              <w:r w:rsidRPr="00B31588">
                <w:rPr>
                  <w:rStyle w:val="Hyperlink"/>
                  <w:rFonts w:ascii="Times New Roman" w:hAnsi="Times New Roman"/>
                  <w:szCs w:val="22"/>
                </w:rPr>
                <w:t>C.Garbett@leedsbeckett.ac.uk</w:t>
              </w:r>
            </w:hyperlink>
          </w:p>
        </w:tc>
      </w:tr>
    </w:tbl>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911C00" w:rsidRDefault="00911C00" w:rsidP="007600EB"/>
    <w:p w:rsidR="007600EB" w:rsidRPr="00911C00" w:rsidRDefault="00E635E1" w:rsidP="007600EB">
      <w:pPr>
        <w:rPr>
          <w:rFonts w:ascii="Arial" w:hAnsi="Arial" w:cs="Arial"/>
          <w:lang w:eastAsia="zh-CN"/>
        </w:rPr>
      </w:pPr>
      <w:hyperlink w:anchor="TOC" w:history="1">
        <w:r w:rsidR="00911C00" w:rsidRPr="00911C00">
          <w:rPr>
            <w:rStyle w:val="Hyperlink"/>
            <w:rFonts w:ascii="Arial" w:hAnsi="Arial" w:cs="Arial"/>
            <w:sz w:val="16"/>
            <w:szCs w:val="16"/>
          </w:rPr>
          <w:t>Return to Table of Contents</w:t>
        </w:r>
      </w:hyperlink>
      <w:r w:rsidR="007600EB" w:rsidRPr="00911C00">
        <w:rPr>
          <w:rFonts w:ascii="Arial" w:hAnsi="Arial" w:cs="Arial"/>
        </w:rPr>
        <w:br w:type="page"/>
      </w:r>
    </w:p>
    <w:p w:rsidR="007600EB" w:rsidRPr="00FF21E3" w:rsidRDefault="007600EB" w:rsidP="001541F7">
      <w:pPr>
        <w:pStyle w:val="Note"/>
        <w:rPr>
          <w:rFonts w:ascii="Segoe UI" w:hAnsi="Segoe UI"/>
          <w:sz w:val="12"/>
          <w:szCs w:val="12"/>
        </w:rPr>
      </w:pPr>
      <w:r w:rsidRPr="00FF21E3">
        <w:lastRenderedPageBreak/>
        <w:t>Editor's Note: 5411 WORDS </w:t>
      </w:r>
    </w:p>
    <w:p w:rsidR="007600EB" w:rsidRPr="00FF21E3" w:rsidRDefault="007600EB" w:rsidP="001541F7">
      <w:pPr>
        <w:pStyle w:val="Note"/>
        <w:rPr>
          <w:rFonts w:ascii="Segoe UI" w:hAnsi="Segoe UI"/>
          <w:sz w:val="12"/>
          <w:szCs w:val="12"/>
        </w:rPr>
      </w:pPr>
    </w:p>
    <w:p w:rsidR="007600EB" w:rsidRPr="00FF21E3" w:rsidRDefault="007600EB" w:rsidP="001541F7">
      <w:pPr>
        <w:pStyle w:val="Note"/>
        <w:rPr>
          <w:rFonts w:ascii="Segoe UI" w:hAnsi="Segoe UI"/>
          <w:sz w:val="12"/>
          <w:szCs w:val="12"/>
        </w:rPr>
      </w:pPr>
    </w:p>
    <w:p w:rsidR="007600EB" w:rsidRPr="00C55885" w:rsidRDefault="007600EB" w:rsidP="001541F7">
      <w:pPr>
        <w:pStyle w:val="Heading6"/>
        <w:rPr>
          <w:sz w:val="28"/>
          <w:szCs w:val="28"/>
        </w:rPr>
      </w:pPr>
      <w:bookmarkStart w:id="11" w:name="_Factors_influencing_the"/>
      <w:bookmarkEnd w:id="11"/>
      <w:r w:rsidRPr="00C55885">
        <w:rPr>
          <w:sz w:val="28"/>
          <w:szCs w:val="28"/>
        </w:rPr>
        <w:t xml:space="preserve">Factors </w:t>
      </w:r>
      <w:r w:rsidR="001541F7" w:rsidRPr="00C55885">
        <w:rPr>
          <w:sz w:val="28"/>
          <w:szCs w:val="28"/>
        </w:rPr>
        <w:t>i</w:t>
      </w:r>
      <w:r w:rsidRPr="00C55885">
        <w:rPr>
          <w:sz w:val="28"/>
          <w:szCs w:val="28"/>
        </w:rPr>
        <w:t xml:space="preserve">nfluencing the </w:t>
      </w:r>
      <w:r w:rsidR="001541F7" w:rsidRPr="00C55885">
        <w:rPr>
          <w:sz w:val="28"/>
          <w:szCs w:val="28"/>
        </w:rPr>
        <w:t>a</w:t>
      </w:r>
      <w:r w:rsidRPr="00C55885">
        <w:rPr>
          <w:sz w:val="28"/>
          <w:szCs w:val="28"/>
        </w:rPr>
        <w:t xml:space="preserve">doption of </w:t>
      </w:r>
      <w:r w:rsidR="00C55885" w:rsidRPr="00C55885">
        <w:rPr>
          <w:sz w:val="28"/>
          <w:szCs w:val="28"/>
        </w:rPr>
        <w:t>information communications and technology (</w:t>
      </w:r>
      <w:r w:rsidRPr="00C55885">
        <w:rPr>
          <w:sz w:val="28"/>
          <w:szCs w:val="28"/>
        </w:rPr>
        <w:t>ICT</w:t>
      </w:r>
      <w:r w:rsidR="00C55885" w:rsidRPr="00C55885">
        <w:rPr>
          <w:sz w:val="28"/>
          <w:szCs w:val="28"/>
        </w:rPr>
        <w:t>)</w:t>
      </w:r>
      <w:r w:rsidRPr="00C55885">
        <w:rPr>
          <w:sz w:val="28"/>
          <w:szCs w:val="28"/>
        </w:rPr>
        <w:t xml:space="preserve"> in </w:t>
      </w:r>
      <w:r w:rsidR="001541F7" w:rsidRPr="00C55885">
        <w:rPr>
          <w:sz w:val="28"/>
          <w:szCs w:val="28"/>
        </w:rPr>
        <w:t>l</w:t>
      </w:r>
      <w:r w:rsidRPr="00C55885">
        <w:rPr>
          <w:sz w:val="28"/>
          <w:szCs w:val="28"/>
        </w:rPr>
        <w:t xml:space="preserve">anguage </w:t>
      </w:r>
      <w:r w:rsidR="001541F7" w:rsidRPr="00C55885">
        <w:rPr>
          <w:sz w:val="28"/>
          <w:szCs w:val="28"/>
        </w:rPr>
        <w:t>t</w:t>
      </w:r>
      <w:r w:rsidRPr="00C55885">
        <w:rPr>
          <w:sz w:val="28"/>
          <w:szCs w:val="28"/>
        </w:rPr>
        <w:t>eaching</w:t>
      </w:r>
    </w:p>
    <w:p w:rsidR="007600EB" w:rsidRPr="00C55885" w:rsidRDefault="007600EB" w:rsidP="001541F7">
      <w:pPr>
        <w:pStyle w:val="Heading5"/>
        <w:rPr>
          <w:rFonts w:cs="Segoe UI"/>
          <w:sz w:val="22"/>
          <w:szCs w:val="22"/>
        </w:rPr>
      </w:pPr>
      <w:r w:rsidRPr="00C55885">
        <w:rPr>
          <w:sz w:val="22"/>
          <w:szCs w:val="22"/>
        </w:rPr>
        <w:t>Hamzeh Moradi </w:t>
      </w:r>
    </w:p>
    <w:p w:rsidR="007600EB" w:rsidRPr="00C55885" w:rsidRDefault="007600EB" w:rsidP="001541F7">
      <w:pPr>
        <w:pStyle w:val="Heading5"/>
        <w:rPr>
          <w:rFonts w:cs="Segoe UI"/>
          <w:sz w:val="18"/>
          <w:szCs w:val="18"/>
        </w:rPr>
      </w:pPr>
      <w:r w:rsidRPr="00C55885">
        <w:rPr>
          <w:sz w:val="18"/>
          <w:szCs w:val="18"/>
        </w:rPr>
        <w:t>India </w:t>
      </w:r>
    </w:p>
    <w:p w:rsidR="007600EB" w:rsidRPr="00FF21E3" w:rsidRDefault="001541F7" w:rsidP="001541F7">
      <w:pPr>
        <w:pStyle w:val="Heading7"/>
        <w:rPr>
          <w:rFonts w:ascii="Segoe UI" w:hAnsi="Segoe UI" w:cs="Segoe UI"/>
          <w:sz w:val="12"/>
          <w:szCs w:val="12"/>
        </w:rPr>
      </w:pPr>
      <w:r w:rsidRPr="00FF21E3">
        <w:t>Abstract</w:t>
      </w:r>
    </w:p>
    <w:p w:rsidR="007600EB" w:rsidRPr="00FF21E3" w:rsidRDefault="007600EB" w:rsidP="001541F7">
      <w:pPr>
        <w:rPr>
          <w:rFonts w:ascii="Segoe UI" w:hAnsi="Segoe UI" w:cs="Segoe UI"/>
          <w:sz w:val="12"/>
          <w:szCs w:val="12"/>
        </w:rPr>
      </w:pPr>
      <w:r w:rsidRPr="00FF21E3">
        <w:t>The present study investigate</w:t>
      </w:r>
      <w:r w:rsidR="00C55885">
        <w:t>s</w:t>
      </w:r>
      <w:r w:rsidRPr="00FF21E3">
        <w:t xml:space="preserve"> institutional, personal and technological factors that affect the integration of information and communication technology (ICT) in language classes</w:t>
      </w:r>
      <w:r w:rsidR="00C55885">
        <w:t>. I</w:t>
      </w:r>
      <w:r w:rsidRPr="00FF21E3">
        <w:t xml:space="preserve">t precisely demonstrates the main factors </w:t>
      </w:r>
      <w:r w:rsidR="00C55885">
        <w:t>that</w:t>
      </w:r>
      <w:r w:rsidRPr="00FF21E3">
        <w:t xml:space="preserve"> encourage language teachers to use computers and new technologies in teaching-learning processes. It also presents a clear description of institutional or school-level, teacher-level and system-level factors </w:t>
      </w:r>
      <w:r w:rsidR="00C55885">
        <w:t>that</w:t>
      </w:r>
      <w:r w:rsidRPr="00FF21E3">
        <w:t xml:space="preserve"> prevent language teachers from ICT adaption and integration in teaching. These barriers comprise lack of teacher confidence, lack of teacher ICT skills, lack of professional teacher training programs, lack of appropriate educational software, restricted and inflexible </w:t>
      </w:r>
      <w:r w:rsidR="00C55885" w:rsidRPr="00FF21E3">
        <w:t xml:space="preserve">educational system </w:t>
      </w:r>
      <w:r w:rsidRPr="00FF21E3">
        <w:t>structures and restricted curriculum. The study concluded that knowing and realizing the extent to which these barriers influence institutions and individuals will be helpful in making decisions on how to handle and tackle them.</w:t>
      </w:r>
    </w:p>
    <w:p w:rsidR="007600EB" w:rsidRPr="001541F7" w:rsidRDefault="007600EB" w:rsidP="001541F7">
      <w:pPr>
        <w:rPr>
          <w:rFonts w:ascii="Segoe UI" w:hAnsi="Segoe UI" w:cs="Segoe UI"/>
          <w:sz w:val="20"/>
        </w:rPr>
      </w:pPr>
      <w:r w:rsidRPr="001541F7">
        <w:rPr>
          <w:b/>
          <w:bCs/>
          <w:sz w:val="20"/>
        </w:rPr>
        <w:t>Keywords</w:t>
      </w:r>
      <w:r w:rsidRPr="001541F7">
        <w:rPr>
          <w:sz w:val="20"/>
        </w:rPr>
        <w:t>: Communication technologies; ICT adoption; ICT integration; institutional factors; technological factors; personal factors; CALL; computers; language learning; competence</w:t>
      </w:r>
    </w:p>
    <w:p w:rsidR="007600EB" w:rsidRPr="00FF21E3" w:rsidRDefault="007600EB" w:rsidP="001541F7">
      <w:pPr>
        <w:pStyle w:val="Heading7"/>
        <w:rPr>
          <w:rFonts w:ascii="Segoe UI" w:hAnsi="Segoe UI" w:cs="Segoe UI"/>
          <w:sz w:val="12"/>
          <w:szCs w:val="12"/>
        </w:rPr>
      </w:pPr>
      <w:r w:rsidRPr="00FF21E3">
        <w:t>Introduction </w:t>
      </w:r>
    </w:p>
    <w:p w:rsidR="007600EB" w:rsidRPr="00FF21E3" w:rsidRDefault="007600EB" w:rsidP="001541F7">
      <w:pPr>
        <w:rPr>
          <w:rFonts w:ascii="Segoe UI" w:hAnsi="Segoe UI" w:cs="Segoe UI"/>
          <w:sz w:val="12"/>
          <w:szCs w:val="12"/>
        </w:rPr>
      </w:pPr>
      <w:r w:rsidRPr="00FF21E3">
        <w:t xml:space="preserve">ICT adoption and use of modern technologies in language teaching recently has been </w:t>
      </w:r>
      <w:r w:rsidR="00C55885">
        <w:t xml:space="preserve">rapidly </w:t>
      </w:r>
      <w:r w:rsidRPr="00FF21E3">
        <w:t>increasing throughout the world.  In fact</w:t>
      </w:r>
      <w:r w:rsidR="00C55885">
        <w:t>,</w:t>
      </w:r>
      <w:r w:rsidRPr="00FF21E3">
        <w:t xml:space="preserve"> with the creation of World Wide Web, it has come to be feasible for L2 teachers to access instructional materials and make effective use of them in teaching language. Computer assisted language learning (CALL) programs provide multimedia with graphics, sounds, video, and text that permit students to be exposed to the target language and as well as its culture. Language learners simulated the setting with meaningful and substantial multimodal forms, like audio-visual input which facilitates reading and listening comprehension (Verdugo &amp; Belmonte, 2007). </w:t>
      </w:r>
    </w:p>
    <w:p w:rsidR="007600EB" w:rsidRPr="00FF21E3" w:rsidRDefault="007600EB" w:rsidP="001541F7">
      <w:pPr>
        <w:rPr>
          <w:rFonts w:ascii="Segoe UI" w:hAnsi="Segoe UI" w:cs="Segoe UI"/>
          <w:sz w:val="12"/>
          <w:szCs w:val="12"/>
        </w:rPr>
      </w:pPr>
      <w:r w:rsidRPr="00FF21E3">
        <w:t>Teachers  are the  central  individuals  to  implement  innovation  (Fritz,  Miller</w:t>
      </w:r>
      <w:r w:rsidR="005C3ED0">
        <w:t>-</w:t>
      </w:r>
      <w:r w:rsidRPr="00FF21E3">
        <w:t>Heyl,  Kreutzer,  &amp; MacPhee,  2001). However, it is essential for teachers to improve their technological literacy and pedagogical understanding and knowledge when implementing new technologies. For effective and successful adoption of ICT in language teaching, it is crucial to realize how and why language teachers use information and communication technology (ICT) and as well as to reveal the barriers which language teachers confront when trying to implement ICTs into their language instruction.</w:t>
      </w:r>
    </w:p>
    <w:p w:rsidR="007600EB" w:rsidRPr="00FF21E3" w:rsidRDefault="007600EB" w:rsidP="001541F7">
      <w:pPr>
        <w:rPr>
          <w:rFonts w:ascii="Segoe UI" w:hAnsi="Segoe UI" w:cs="Segoe UI"/>
          <w:sz w:val="12"/>
          <w:szCs w:val="12"/>
        </w:rPr>
      </w:pPr>
      <w:r w:rsidRPr="00FF21E3">
        <w:t xml:space="preserve">Global investments </w:t>
      </w:r>
      <w:r w:rsidR="005C3ED0">
        <w:t>i</w:t>
      </w:r>
      <w:r w:rsidRPr="00FF21E3">
        <w:t>n ICT to improve and enhance teaching and learning processes in education have been started by several governments. For instance, the government of UK spen</w:t>
      </w:r>
      <w:r w:rsidR="005C3ED0">
        <w:t>t</w:t>
      </w:r>
      <w:r w:rsidRPr="00FF21E3">
        <w:t xml:space="preserve"> £2.5</w:t>
      </w:r>
      <w:r w:rsidR="005C3ED0">
        <w:t xml:space="preserve"> </w:t>
      </w:r>
      <w:r w:rsidRPr="00FF21E3">
        <w:t>b</w:t>
      </w:r>
      <w:r w:rsidR="005C3ED0">
        <w:t>illion</w:t>
      </w:r>
      <w:r w:rsidRPr="00FF21E3">
        <w:t xml:space="preserve"> (Nut, 2010) on educational ICT in 2008-2009, the US government spends $6 billion on K-12 schools and higher education institutions, the New Zealand government spends more than $ 410 million on school ICT infrastructure every year (Johnson, Calvert &amp; Raggert 2009). </w:t>
      </w:r>
      <w:r w:rsidR="005C3ED0">
        <w:t>A</w:t>
      </w:r>
      <w:r w:rsidR="005C3ED0" w:rsidRPr="00FF21E3">
        <w:t xml:space="preserve"> Gulbahar (2007) mentions, </w:t>
      </w:r>
      <w:r w:rsidR="005C3ED0">
        <w:t>i</w:t>
      </w:r>
      <w:r w:rsidRPr="00FF21E3">
        <w:t>n spite of all the investment on ICT infrastructure, facilities, technological equipment and professional development to enhance education in many countries</w:t>
      </w:r>
      <w:r w:rsidR="005C3ED0">
        <w:t xml:space="preserve">, </w:t>
      </w:r>
      <w:r w:rsidRPr="00FF21E3">
        <w:t xml:space="preserve">there is a little evidence of ICT implementation in teaching and learning processes. A number of studies are carried out to examine and research factors that are associated with teachers’ </w:t>
      </w:r>
      <w:r w:rsidR="005C3ED0">
        <w:t xml:space="preserve">used of </w:t>
      </w:r>
      <w:r w:rsidRPr="00FF21E3">
        <w:t>computer technology in teaching-learning processes (Baek, Jung &amp; Kim, 2008; Norton, McRobbie, &amp; Cooper, 2000). </w:t>
      </w:r>
    </w:p>
    <w:p w:rsidR="007600EB" w:rsidRPr="00FF21E3" w:rsidRDefault="00EC0E35" w:rsidP="00EC0E35">
      <w:pPr>
        <w:pStyle w:val="Heading7"/>
        <w:rPr>
          <w:rFonts w:ascii="Segoe UI" w:hAnsi="Segoe UI" w:cs="Segoe UI"/>
          <w:sz w:val="12"/>
          <w:szCs w:val="12"/>
        </w:rPr>
      </w:pPr>
      <w:r w:rsidRPr="00FF21E3">
        <w:lastRenderedPageBreak/>
        <w:t xml:space="preserve">Factors influencing teachers’ adoption and integration of </w:t>
      </w:r>
      <w:r w:rsidR="007600EB" w:rsidRPr="00FF21E3">
        <w:t>ICT </w:t>
      </w:r>
    </w:p>
    <w:p w:rsidR="007600EB" w:rsidRPr="00FF21E3" w:rsidRDefault="007600EB" w:rsidP="001541F7">
      <w:pPr>
        <w:rPr>
          <w:rFonts w:ascii="Segoe UI" w:hAnsi="Segoe UI" w:cs="Segoe UI"/>
          <w:sz w:val="12"/>
          <w:szCs w:val="12"/>
        </w:rPr>
      </w:pPr>
      <w:r w:rsidRPr="00FF21E3">
        <w:t xml:space="preserve">Prior to the review of factors affecting adoption and integration of ICTs by language teachers, the concepts of adaption and integration need to be described. According to Rangaswamy &amp; Gupta (2000), adaption is the decisions </w:t>
      </w:r>
      <w:r w:rsidR="005C3ED0">
        <w:t>that</w:t>
      </w:r>
      <w:r w:rsidRPr="00FF21E3">
        <w:t xml:space="preserve"> people make every time that they </w:t>
      </w:r>
      <w:r w:rsidR="005C3ED0">
        <w:t>adopt</w:t>
      </w:r>
      <w:r w:rsidRPr="00FF21E3">
        <w:t xml:space="preserve"> an innovation. As Rogers (2003) mentions, adoption is the decision of individuals to use an innovation as the best </w:t>
      </w:r>
      <w:r w:rsidR="005C3ED0" w:rsidRPr="00FF21E3">
        <w:t xml:space="preserve">accessible </w:t>
      </w:r>
      <w:r w:rsidRPr="00FF21E3">
        <w:t xml:space="preserve">course of action. He argues that the adoption process begins </w:t>
      </w:r>
      <w:r w:rsidR="005C3ED0">
        <w:t>initially by</w:t>
      </w:r>
      <w:r w:rsidRPr="00FF21E3">
        <w:t xml:space="preserve"> hearing about an innovation.  </w:t>
      </w:r>
    </w:p>
    <w:p w:rsidR="007600EB" w:rsidRPr="00FF21E3" w:rsidRDefault="007600EB" w:rsidP="001541F7">
      <w:pPr>
        <w:rPr>
          <w:rFonts w:ascii="Segoe UI" w:hAnsi="Segoe UI" w:cs="Segoe UI"/>
          <w:sz w:val="12"/>
          <w:szCs w:val="12"/>
        </w:rPr>
      </w:pPr>
      <w:r w:rsidRPr="00FF21E3">
        <w:t>Earle (2002) associates ICT integration with the concept of wholeness, mentioning that all components of the system are connected together in order to become a whole. For example, content and pedagogy a</w:t>
      </w:r>
      <w:r w:rsidR="005C3ED0">
        <w:t>re</w:t>
      </w:r>
      <w:r w:rsidRPr="00FF21E3">
        <w:t xml:space="preserve"> two significant elements of learning and teaching </w:t>
      </w:r>
      <w:r w:rsidR="005C3ED0">
        <w:t>that</w:t>
      </w:r>
      <w:r w:rsidRPr="00FF21E3">
        <w:t xml:space="preserve"> should be connected when new technology is used in the class. Williams (2003) states that ICT integration is a means of using any ICT tool, such as internet, CD ROMs, DVD ROMs, e-learning</w:t>
      </w:r>
      <w:r w:rsidR="005C3ED0">
        <w:t>,</w:t>
      </w:r>
      <w:r w:rsidRPr="00FF21E3">
        <w:t xml:space="preserve"> etc, to assist learning and teaching. Williams’ definition of ICT integration will be used for the purpose of the present study.</w:t>
      </w:r>
    </w:p>
    <w:p w:rsidR="007600EB" w:rsidRPr="00FF21E3" w:rsidRDefault="007600EB" w:rsidP="001541F7">
      <w:pPr>
        <w:rPr>
          <w:rFonts w:ascii="Segoe UI" w:hAnsi="Segoe UI" w:cs="Segoe UI"/>
          <w:sz w:val="12"/>
          <w:szCs w:val="12"/>
        </w:rPr>
      </w:pPr>
      <w:r w:rsidRPr="00FF21E3">
        <w:t xml:space="preserve">A number of factors </w:t>
      </w:r>
      <w:r w:rsidR="005C3ED0">
        <w:t xml:space="preserve">that </w:t>
      </w:r>
      <w:r w:rsidRPr="00FF21E3">
        <w:t>affect adoption and integration of ICTs into teaching and learning have been identified by researchers during the past decade. Rogers (2003) introduced five technological attributes which affect the decision to adopt an innovation or a new technology. Similarly, Stockdill and Moreshouse (1992) introduced technological consideration, user features, content features, and organizational capacity as factors affecting ICT adoption and integration into teaching. Balanskat, Blamire &amp; Kefalla (2007) introduced the affecting factors as teacher-level, school-level and system-level. In fact teachers’ ICT integration in teaching is also affected by organizational factors, attitudes towards new technologies and other factors (Chen, 2008, Tondeur; van Braak &amp; Valcke, 2008; Lim &amp; Chai, 2008; Clausen, 2007). According to Sherry and Gibson (2002), individual, technological, organizational and institutional factors should be regarded when investigating about ICT adoption and integration.  According to Neyland (2011), factors such as organizational support and as well as teacher capability, affect the use of online learning in high schools in Sydney. The present research paper reviews researches on the use of ICTs by teachers and identifies significant factors included and classified in the framework of Sherry and Gibson (2002). </w:t>
      </w:r>
    </w:p>
    <w:p w:rsidR="007600EB" w:rsidRPr="00FF21E3" w:rsidRDefault="007600EB" w:rsidP="00EC0E35">
      <w:pPr>
        <w:pStyle w:val="Heading4"/>
        <w:rPr>
          <w:rFonts w:ascii="Segoe UI" w:hAnsi="Segoe UI" w:cs="Segoe UI"/>
          <w:sz w:val="12"/>
          <w:szCs w:val="12"/>
        </w:rPr>
      </w:pPr>
      <w:r w:rsidRPr="00FF21E3">
        <w:t xml:space="preserve">Personal </w:t>
      </w:r>
      <w:r w:rsidR="00EC0E35">
        <w:t>c</w:t>
      </w:r>
      <w:r w:rsidRPr="00FF21E3">
        <w:t>haracteristics </w:t>
      </w:r>
    </w:p>
    <w:p w:rsidR="007600EB" w:rsidRPr="00FF21E3" w:rsidRDefault="007600EB" w:rsidP="001541F7">
      <w:pPr>
        <w:rPr>
          <w:rFonts w:ascii="Segoe UI" w:hAnsi="Segoe UI" w:cs="Segoe UI"/>
          <w:sz w:val="12"/>
          <w:szCs w:val="12"/>
        </w:rPr>
      </w:pPr>
      <w:r w:rsidRPr="00FF21E3">
        <w:t>As Schiller (2003) mentions, personal characteristics such as educational background, educational level, age, gender, computer skills, experience with the computer use for educational purpose, educational experience and attitudes towards the computers and new technologies can affect the adoption of a technology in teaching. Teachers are entreated to adopt and integrate ICTs into teaching and learning process, but in fact teachers’ readiness to integrate information and communication technologies (ICTs) determines the success and effectiveness of technologies, not just its existence in the classroom. Teachers’ attitudes towards modern technologies significantly influence the adaptation and integration of ICT into their teaching. Factors such as stress and anxiety, lack of confidence and knowledge, lack of computer skills and fear result in avoiding ICT integration in teaching-learning activities. Consequently an understanding of teachers’ personal characteristics that affect ICT adaption and integration is very essential. </w:t>
      </w:r>
    </w:p>
    <w:p w:rsidR="007600EB" w:rsidRPr="00FF21E3" w:rsidRDefault="007600EB" w:rsidP="00EC0E35">
      <w:pPr>
        <w:pStyle w:val="Heading4"/>
        <w:rPr>
          <w:rFonts w:ascii="Segoe UI" w:hAnsi="Segoe UI" w:cs="Segoe UI"/>
          <w:sz w:val="12"/>
          <w:szCs w:val="12"/>
        </w:rPr>
      </w:pPr>
      <w:r w:rsidRPr="00FF21E3">
        <w:t xml:space="preserve">Teachers’ </w:t>
      </w:r>
      <w:r w:rsidR="00EC0E35">
        <w:t>a</w:t>
      </w:r>
      <w:r w:rsidRPr="00FF21E3">
        <w:t>ttitudes </w:t>
      </w:r>
    </w:p>
    <w:p w:rsidR="007600EB" w:rsidRPr="00FF21E3" w:rsidRDefault="007600EB" w:rsidP="001541F7">
      <w:pPr>
        <w:rPr>
          <w:rFonts w:ascii="Segoe UI" w:hAnsi="Segoe UI" w:cs="Segoe UI"/>
          <w:sz w:val="12"/>
          <w:szCs w:val="12"/>
        </w:rPr>
      </w:pPr>
      <w:r w:rsidRPr="00FF21E3">
        <w:t xml:space="preserve">Effective and successful use of instructional technologies in school programs, specifically in language classes, </w:t>
      </w:r>
      <w:r w:rsidR="00CD6866">
        <w:t>depends</w:t>
      </w:r>
      <w:r w:rsidRPr="00FF21E3">
        <w:t xml:space="preserve"> greatly on language teachers’ attitudes and support.  If teachers recognize and perceive modern technologies as fulfilling </w:t>
      </w:r>
      <w:r w:rsidR="00CD6866" w:rsidRPr="00FF21E3">
        <w:t xml:space="preserve">neither </w:t>
      </w:r>
      <w:r w:rsidRPr="00FF21E3">
        <w:t xml:space="preserve">their demands nor their students’ needs, they probably will not implement and integrate them in teaching and learning activities in language classes. Teachers’ attitudes and beliefs towards modern technology and ICT are among the significant factors that can influence the implementation and integration of ICT in </w:t>
      </w:r>
      <w:r w:rsidRPr="00FF21E3">
        <w:lastRenderedPageBreak/>
        <w:t>second/foreign language teaching. If language teachers possess positive attitudes towards modern educational technologies, then it is likely that they easily provide a useful insight and perception about the adoption and integration of ICTs into the teaching-learning processes. Language teachers’ attitudes towards modern technologies and ICTs are very crucial and determinant to successful and effective integration into the language teaching and learning activities.</w:t>
      </w:r>
    </w:p>
    <w:p w:rsidR="007600EB" w:rsidRPr="00FF21E3" w:rsidRDefault="007600EB" w:rsidP="001541F7">
      <w:pPr>
        <w:rPr>
          <w:rFonts w:ascii="Segoe UI" w:hAnsi="Segoe UI" w:cs="Segoe UI"/>
          <w:sz w:val="12"/>
          <w:szCs w:val="12"/>
        </w:rPr>
      </w:pPr>
      <w:r w:rsidRPr="00FF21E3">
        <w:t>Toe (2008) conducted a research in Singapore on pre-service teachers’ attitudes towards computer use. 139 pre-service teachers participated in the survey and their attitudes towards computer use were assessed via using a questionnaire with four factors including: perceived usefulness, effective, perceived control, and finally behavioural intentions to utilize the computer. He noticed that teachers’ attitudes towards computers and intentions to use computers were more positive than their perceptions about the usefulness of computer and as well their control of computers. Similarly, Drent &amp; Meelissem (2008) conducted a survey about factors which affect the innovative use of ICTs by teachers in Netherlands. Participants of this study were 210 teachers. Their research study revealed that positive attitudes towards computer use, student-oriented pedagogical strategies and computer experience have a significant influence on the innovative use of ICTs by teachers. Language teachers’ attitudes towards modern technologies affect their acceptance of the technologies’ usefulness and integration of ICT into teaching.  </w:t>
      </w:r>
    </w:p>
    <w:p w:rsidR="007600EB" w:rsidRPr="00FF21E3" w:rsidRDefault="007600EB" w:rsidP="001541F7">
      <w:pPr>
        <w:rPr>
          <w:rFonts w:ascii="Segoe UI" w:hAnsi="Segoe UI" w:cs="Segoe UI"/>
          <w:sz w:val="12"/>
          <w:szCs w:val="12"/>
        </w:rPr>
      </w:pPr>
      <w:r w:rsidRPr="00FF21E3">
        <w:t xml:space="preserve">The computer experience of language teachers </w:t>
      </w:r>
      <w:r w:rsidR="00CD6866">
        <w:t>rela</w:t>
      </w:r>
      <w:r w:rsidRPr="00FF21E3">
        <w:t>tes positively to their attitudes towards com</w:t>
      </w:r>
      <w:r w:rsidR="00CD6866">
        <w:t>p</w:t>
      </w:r>
      <w:r w:rsidRPr="00FF21E3">
        <w:t xml:space="preserve">uters. The more experience with </w:t>
      </w:r>
      <w:r w:rsidR="00CD6866">
        <w:t xml:space="preserve">the </w:t>
      </w:r>
      <w:r w:rsidRPr="00FF21E3">
        <w:t xml:space="preserve">computer, the more likely teachers will demonstrate positive attitudes towards computers (Rozell &amp; Gardner, 1999). Positive attitudes towards computers can foster computer implementation and integration in the classroom (van Braak, Tondeur &amp; Valcke, 2004). Woodrow (1992) </w:t>
      </w:r>
      <w:r w:rsidR="00CD6866">
        <w:t>determined</w:t>
      </w:r>
      <w:r w:rsidRPr="00FF21E3">
        <w:t xml:space="preserve"> that</w:t>
      </w:r>
      <w:r w:rsidR="00CD6866">
        <w:t>,</w:t>
      </w:r>
      <w:r w:rsidRPr="00FF21E3">
        <w:t xml:space="preserve"> for successful and effective transformation in educational program</w:t>
      </w:r>
      <w:r w:rsidR="00CD6866">
        <w:t>s</w:t>
      </w:r>
      <w:r w:rsidRPr="00FF21E3">
        <w:t xml:space="preserve">, </w:t>
      </w:r>
      <w:r w:rsidR="00CD6866">
        <w:t xml:space="preserve">the </w:t>
      </w:r>
      <w:r w:rsidRPr="00FF21E3">
        <w:t xml:space="preserve">user should develop </w:t>
      </w:r>
      <w:r w:rsidR="00CD6866">
        <w:t xml:space="preserve">a </w:t>
      </w:r>
      <w:r w:rsidRPr="00FF21E3">
        <w:t>positive attitude towards innovations. </w:t>
      </w:r>
    </w:p>
    <w:p w:rsidR="007600EB" w:rsidRPr="00FF21E3" w:rsidRDefault="007600EB" w:rsidP="00EC0E35">
      <w:pPr>
        <w:pStyle w:val="Heading4"/>
        <w:rPr>
          <w:rFonts w:ascii="Segoe UI" w:hAnsi="Segoe UI" w:cs="Segoe UI"/>
          <w:sz w:val="12"/>
          <w:szCs w:val="12"/>
        </w:rPr>
      </w:pPr>
      <w:r w:rsidRPr="00FF21E3">
        <w:t xml:space="preserve">ICT </w:t>
      </w:r>
      <w:r w:rsidR="00EC0E35">
        <w:t>c</w:t>
      </w:r>
      <w:r w:rsidRPr="00FF21E3">
        <w:t>ompetence </w:t>
      </w:r>
    </w:p>
    <w:p w:rsidR="007600EB" w:rsidRPr="00FF21E3" w:rsidRDefault="007600EB" w:rsidP="001541F7">
      <w:pPr>
        <w:rPr>
          <w:rFonts w:ascii="Segoe UI" w:hAnsi="Segoe UI" w:cs="Segoe UI"/>
          <w:sz w:val="12"/>
          <w:szCs w:val="12"/>
        </w:rPr>
      </w:pPr>
      <w:r w:rsidRPr="00FF21E3">
        <w:t>ICT competence as one of the significant factors which influence the ICT integration in language teaching-learning processes can be simply defined as capability to deal with and handle a wide range of different computer applications for a variety of purposes. As Na (1993) and Berner (2003) assert, teachers’ computer competence is a key predictor of ICT integration in teaching. Evidence demonstrates that most of the teachers who reported neutral or negative attitudes towards ICT integration in teaching-learning processes lacked sufficient skills and knowledge of computer and ICT use. Therefore it is crucial to provide sufficient support for language teachers to improve their computer skills and ICT competence in order to help them to successfully integrate ICT in their teaching which finally will boost the language teaching and learning processes. Language teachers with more experience in computers and ICTs have much more confidence in their capabilities to use them effectively in the language classes; in other words teachers’ computer and technology competence is connected directly to their confidence. On the other hand, teachers’ confidence also is related to the understanding and perception of their capabilities and skills to utilize ICTs in the classroom. </w:t>
      </w:r>
    </w:p>
    <w:p w:rsidR="007600EB" w:rsidRPr="00FF21E3" w:rsidRDefault="007600EB" w:rsidP="00EC0E35">
      <w:pPr>
        <w:pStyle w:val="Heading4"/>
        <w:rPr>
          <w:rFonts w:ascii="Segoe UI" w:hAnsi="Segoe UI" w:cs="Segoe UI"/>
          <w:sz w:val="12"/>
          <w:szCs w:val="12"/>
        </w:rPr>
      </w:pPr>
      <w:r w:rsidRPr="00FF21E3">
        <w:t xml:space="preserve">Computer </w:t>
      </w:r>
      <w:r w:rsidR="00EC0E35">
        <w:t>s</w:t>
      </w:r>
      <w:r w:rsidRPr="00FF21E3">
        <w:t>elf-efficacy </w:t>
      </w:r>
    </w:p>
    <w:p w:rsidR="007600EB" w:rsidRPr="00FF21E3" w:rsidRDefault="007600EB" w:rsidP="001541F7">
      <w:pPr>
        <w:rPr>
          <w:rFonts w:ascii="Segoe UI" w:hAnsi="Segoe UI" w:cs="Segoe UI"/>
          <w:sz w:val="12"/>
          <w:szCs w:val="12"/>
        </w:rPr>
      </w:pPr>
      <w:r w:rsidRPr="00FF21E3">
        <w:t>Language teachers’ self-efficacy is another important factor that affects ICT integration in second/foreign language classes. Self-efficacy can be defined as a belief in ones’ own capabilities to perform an activity which is essential to achieve intended goals. In other words, self-efficacy can be defined as the confidence which individuals have about their own abilities to perform tasks or activities that need to be done. According to Peralta &amp;</w:t>
      </w:r>
      <w:r w:rsidR="00CD6866">
        <w:t xml:space="preserve"> </w:t>
      </w:r>
      <w:r w:rsidRPr="00FF21E3">
        <w:t xml:space="preserve">Costa (2007), teachers’ confidence pertains </w:t>
      </w:r>
      <w:r w:rsidR="00CD6866">
        <w:t xml:space="preserve">to </w:t>
      </w:r>
      <w:r w:rsidRPr="00FF21E3">
        <w:t xml:space="preserve">both teachers’ perceived success using ICTs for educational programs and as well as how far they perceive success as being under their control. Compeau &amp; Higgins (1995) assert that teachers’ computer self-efficacy is defined as a judgement of their abilities to make use of </w:t>
      </w:r>
      <w:r w:rsidRPr="00FF21E3">
        <w:lastRenderedPageBreak/>
        <w:t>computer. Teachers’ self-efficacy can directly influence the implementing and integrating ICT in teaching and learning in language classes.  </w:t>
      </w:r>
    </w:p>
    <w:p w:rsidR="007600EB" w:rsidRPr="00FF21E3" w:rsidRDefault="007600EB" w:rsidP="001541F7">
      <w:pPr>
        <w:rPr>
          <w:rFonts w:ascii="Segoe UI" w:hAnsi="Segoe UI" w:cs="Segoe UI"/>
          <w:sz w:val="12"/>
          <w:szCs w:val="12"/>
        </w:rPr>
      </w:pPr>
      <w:r w:rsidRPr="00FF21E3">
        <w:t>According to Christensen and Knezek (2006) computer self-efficacy is in fact the computer confidence in competence. Knezek and Christensen (2002) depict that teachers’ competence with computer technologies is a significant factor that can influence the effective use of ICT in teaching. In a research conducted by Peralta and Costa (2007) with a sample of 20 teachers in Italy, to assess teachers’ competence and confidence towards the ICT use in the classroom; it was revealed that teachers’ competence with technologies is a key factor of developing greater confidence in the use of ICT. Moreover, in Greece, teachers demonstrate personal and pedagogical factors as those of which greatly assist their confidence in using ICT.  </w:t>
      </w:r>
    </w:p>
    <w:p w:rsidR="007600EB" w:rsidRPr="00FF21E3" w:rsidRDefault="007600EB" w:rsidP="001541F7">
      <w:pPr>
        <w:rPr>
          <w:rFonts w:ascii="Segoe UI" w:hAnsi="Segoe UI" w:cs="Segoe UI"/>
          <w:sz w:val="12"/>
          <w:szCs w:val="12"/>
        </w:rPr>
      </w:pPr>
      <w:r w:rsidRPr="00FF21E3">
        <w:t xml:space="preserve">Obviously if L2 teachers lack confidence, they will be reluctant to make use of ICTs in the teaching-learning activities. Some of the reasons for the lack of confidence for integrating ICT in language classrooms </w:t>
      </w:r>
      <w:r w:rsidR="006C03FF">
        <w:t>include</w:t>
      </w:r>
      <w:r w:rsidRPr="00FF21E3">
        <w:t xml:space="preserve"> lack of ICT knowledge</w:t>
      </w:r>
      <w:r w:rsidR="006C03FF">
        <w:t>,</w:t>
      </w:r>
      <w:r w:rsidRPr="00FF21E3">
        <w:t xml:space="preserve"> fear of failure and anxiety. Teachers who do not consider themselves to be </w:t>
      </w:r>
      <w:r w:rsidR="009A4F9E" w:rsidRPr="00FF21E3">
        <w:t>skillful</w:t>
      </w:r>
      <w:r w:rsidRPr="00FF21E3">
        <w:t xml:space="preserve"> and experienced in ICT, probably feel nervous and anxious about using ICT in the classroom and therefore they prefer not to use ICT in their teaching.  </w:t>
      </w:r>
    </w:p>
    <w:p w:rsidR="007600EB" w:rsidRPr="00FF21E3" w:rsidRDefault="007600EB" w:rsidP="00EC0E35">
      <w:pPr>
        <w:pStyle w:val="Heading4"/>
        <w:rPr>
          <w:rFonts w:ascii="Segoe UI" w:hAnsi="Segoe UI" w:cs="Segoe UI"/>
          <w:sz w:val="12"/>
          <w:szCs w:val="12"/>
        </w:rPr>
      </w:pPr>
      <w:r w:rsidRPr="00FF21E3">
        <w:t xml:space="preserve">Teaching </w:t>
      </w:r>
      <w:r w:rsidR="00EC0E35">
        <w:t>e</w:t>
      </w:r>
      <w:r w:rsidRPr="00FF21E3">
        <w:t>xperience </w:t>
      </w:r>
    </w:p>
    <w:p w:rsidR="007600EB" w:rsidRPr="00FF21E3" w:rsidRDefault="007600EB" w:rsidP="001541F7">
      <w:pPr>
        <w:rPr>
          <w:rFonts w:ascii="Segoe UI" w:hAnsi="Segoe UI" w:cs="Segoe UI"/>
          <w:sz w:val="12"/>
          <w:szCs w:val="12"/>
        </w:rPr>
      </w:pPr>
      <w:r w:rsidRPr="00FF21E3">
        <w:t>Although a number of studies claimed that  teaching experience did not affect their use of computer technologies in teaching (Niederhauser &amp; Stoddart, 2001), most of the recent studies demonstrate that experience in teaching influence the effective use of ICT in classroom (Wong &amp; Li, 2008; Giordano, 2007; Hernandez-Ramos, 2005). According to Gorder (2008), teacher experience is correlated with the use of technologies. She asserts that successful and effective use of computers is related to technological comfort levels and as well as the freedom to form instructions based on studen</w:t>
      </w:r>
      <w:r w:rsidR="006C03FF">
        <w:t>t</w:t>
      </w:r>
      <w:r w:rsidRPr="00FF21E3">
        <w:t xml:space="preserve"> and teacher needs. </w:t>
      </w:r>
    </w:p>
    <w:p w:rsidR="007600EB" w:rsidRPr="00FF21E3" w:rsidRDefault="007600EB" w:rsidP="001541F7">
      <w:pPr>
        <w:rPr>
          <w:rFonts w:ascii="Segoe UI" w:hAnsi="Segoe UI" w:cs="Segoe UI"/>
          <w:sz w:val="12"/>
          <w:szCs w:val="12"/>
        </w:rPr>
      </w:pPr>
      <w:r w:rsidRPr="00FF21E3">
        <w:t xml:space="preserve">Baek, Jong &amp; Kim (2008) also mention that </w:t>
      </w:r>
      <w:r w:rsidR="006C03FF">
        <w:t xml:space="preserve">less </w:t>
      </w:r>
      <w:r w:rsidRPr="00FF21E3">
        <w:t xml:space="preserve">experienced teachers are less ready to adopt and integrate ICT in their teaching. Likewise, U.S National for Education Statistics (2000) claimed that </w:t>
      </w:r>
      <w:r w:rsidR="006C03FF" w:rsidRPr="00FF21E3">
        <w:t xml:space="preserve">less experienced </w:t>
      </w:r>
      <w:r w:rsidRPr="00FF21E3">
        <w:t>teachers were more likely to integrate computers in their teaching than experienced teachers. Accordingly, the report demonstrated that teachers who had less than three years teaching experience spent 48% of their time using computers, teachers with four to nine years of experience spent 47% of their time using computers, teachers with 10 to 19 years of teaching experience spent 45% of their time using computers, and finally teachers with more than 20 years of teaching experience spent 33% of their time using computers. The reason of this disparity may be due to the fact that fresh teachers probably are more experienced in using computer technologies.  </w:t>
      </w:r>
    </w:p>
    <w:p w:rsidR="007600EB" w:rsidRPr="00FF21E3" w:rsidRDefault="007600EB" w:rsidP="001541F7">
      <w:pPr>
        <w:rPr>
          <w:rFonts w:ascii="Segoe UI" w:hAnsi="Segoe UI" w:cs="Segoe UI"/>
          <w:sz w:val="12"/>
          <w:szCs w:val="12"/>
        </w:rPr>
      </w:pPr>
      <w:r w:rsidRPr="00FF21E3">
        <w:t xml:space="preserve">On the other hand, Lau &amp; Sim (2008) in their research on ICT adoption by secondary school teachers in Malaysia, reveal that the older teachers in contrast to the younger teachers more frequently use computer technologies in the classroom. It can be due to the fact that the older and the teachers who have more teaching experience, classroom management and as well competent in computer use can easily integrate ICT into their teaching. Their finding is in agreement with Russell, Bebell, O’Dwyer, &amp; O’Connor, (2003) who depicted new teachers who were very skilled with technologies more than older teachers did not incorporate new technologies or ICT in their teaching. They identified two reasons, namely: (1) new teachers’ attention could be on how they can make use of ICT instead of how to incorporate ICTs in teaching-learning processes and (2) new teachers could encounter a number of </w:t>
      </w:r>
      <w:r w:rsidR="006C03FF" w:rsidRPr="00FF21E3">
        <w:t xml:space="preserve">possible </w:t>
      </w:r>
      <w:r w:rsidRPr="00FF21E3">
        <w:t xml:space="preserve">challenges in their first few years of teaching and devote most of their time in familiarizing themselves with schools’ curriculum and as well as classroom management. However, in their research, Granger, Morbey, Lotherington, Owston and Wideman (2002), which was a qualitative survey on factors which contribute successful implementation of ICT by teachers in Canada, demonstrate that there is no relationship between </w:t>
      </w:r>
      <w:r w:rsidRPr="00FF21E3">
        <w:lastRenderedPageBreak/>
        <w:t>teachers teaching experience and experience of using ICTs and mention that teachers’ ICT skills and effective implementation is intricate.</w:t>
      </w:r>
    </w:p>
    <w:p w:rsidR="007600EB" w:rsidRPr="00FF21E3" w:rsidRDefault="007600EB" w:rsidP="00EC0E35">
      <w:pPr>
        <w:pStyle w:val="Heading4"/>
        <w:rPr>
          <w:rFonts w:ascii="Segoe UI" w:hAnsi="Segoe UI" w:cs="Segoe UI"/>
          <w:sz w:val="12"/>
          <w:szCs w:val="12"/>
        </w:rPr>
      </w:pPr>
      <w:r w:rsidRPr="00FF21E3">
        <w:t xml:space="preserve">Teacher </w:t>
      </w:r>
      <w:r w:rsidR="00EC0E35">
        <w:t>w</w:t>
      </w:r>
      <w:r w:rsidRPr="00FF21E3">
        <w:t>orkload</w:t>
      </w:r>
    </w:p>
    <w:p w:rsidR="007600EB" w:rsidRPr="00FF21E3" w:rsidRDefault="007600EB" w:rsidP="001541F7">
      <w:pPr>
        <w:rPr>
          <w:rFonts w:ascii="Segoe UI" w:hAnsi="Segoe UI" w:cs="Segoe UI"/>
          <w:sz w:val="12"/>
          <w:szCs w:val="12"/>
        </w:rPr>
      </w:pPr>
      <w:r w:rsidRPr="00FF21E3">
        <w:t>Numerous research studies revealed that teachers’ workload affects their acceptance of technologies in classrooms. Neyland (2011), in a study conducted in Sydney, with a sample of 26 computer coordinators, stated that increased workload of teachers is alarming. Similarly, Abuhmaid (2011), in his research on effectiveness of ICT training classes within the Jordanian system, mentioned that one of the participants believed that teachers are already overloaded and they cannot cope with and handle the pressure from ICT training. Moreover, one of the teachers asserted that “teachers are already overloaded to learn, to prepare and practice what they learn” (p. 12). As Fullan (2003) mentions, in order to make it possible for teachers to understand the objectives of educational system as well as implementing new technologies and innovations, it is essential to decrease the workload of teachers.  </w:t>
      </w:r>
    </w:p>
    <w:p w:rsidR="007600EB" w:rsidRPr="00FF21E3" w:rsidRDefault="007600EB" w:rsidP="00EC0E35">
      <w:pPr>
        <w:pStyle w:val="Heading4"/>
        <w:rPr>
          <w:rFonts w:ascii="Segoe UI" w:hAnsi="Segoe UI" w:cs="Segoe UI"/>
          <w:sz w:val="12"/>
          <w:szCs w:val="12"/>
        </w:rPr>
      </w:pPr>
      <w:r w:rsidRPr="00FF21E3">
        <w:t xml:space="preserve">Institutional </w:t>
      </w:r>
      <w:r w:rsidR="00EC0E35">
        <w:t>c</w:t>
      </w:r>
      <w:r w:rsidRPr="00FF21E3">
        <w:t>haracteristics </w:t>
      </w:r>
    </w:p>
    <w:p w:rsidR="007600EB" w:rsidRPr="00FF21E3" w:rsidRDefault="007600EB" w:rsidP="001541F7">
      <w:pPr>
        <w:rPr>
          <w:rFonts w:ascii="Segoe UI" w:hAnsi="Segoe UI" w:cs="Segoe UI"/>
          <w:sz w:val="12"/>
          <w:szCs w:val="12"/>
        </w:rPr>
      </w:pPr>
      <w:r w:rsidRPr="00FF21E3">
        <w:t>Another important factor that affects integration of ICT in language classes is institutional characteristics. Institutional features help to develop language teachers’ existing attributes. In line with Vannatta &amp; Fordham (2004), teachers’ time devoted to teaching activities and amount of technology training are generally reliable facets of technology utilization in class. Vannatta &amp; Fordham (2004), demonstrate that teachers, administrators and trainers should not only provide considerable and substantial training on educational technologies, but also they should facilitate a contribution to teaching improvement as well. Therefore, the importance of access to technology or in other words the availability of modern technologies is very crucial for a successful language teaching and learning; additionally the perception of institutional characteristics which affects teachers’ integration of ICTs into teaching is essential and relevant.  </w:t>
      </w:r>
    </w:p>
    <w:p w:rsidR="007600EB" w:rsidRPr="00FF21E3" w:rsidRDefault="007600EB" w:rsidP="00EC0E35">
      <w:pPr>
        <w:pStyle w:val="Heading4"/>
        <w:rPr>
          <w:rFonts w:ascii="Segoe UI" w:hAnsi="Segoe UI" w:cs="Segoe UI"/>
          <w:sz w:val="12"/>
          <w:szCs w:val="12"/>
        </w:rPr>
      </w:pPr>
      <w:r w:rsidRPr="00FF21E3">
        <w:t xml:space="preserve">Professional </w:t>
      </w:r>
      <w:r w:rsidR="00EC0E35">
        <w:t>d</w:t>
      </w:r>
      <w:r w:rsidRPr="00FF21E3">
        <w:t>evelopment </w:t>
      </w:r>
    </w:p>
    <w:p w:rsidR="007600EB" w:rsidRPr="00FF21E3" w:rsidRDefault="007600EB" w:rsidP="001541F7">
      <w:pPr>
        <w:rPr>
          <w:rFonts w:ascii="Segoe UI" w:hAnsi="Segoe UI" w:cs="Segoe UI"/>
          <w:sz w:val="12"/>
          <w:szCs w:val="12"/>
        </w:rPr>
      </w:pPr>
      <w:r w:rsidRPr="00FF21E3">
        <w:t>Teachers’ professional progress is a substantial factor to a productive and successful integration of ICT in second/foreign language classes. A number of research studies have revealed that regardless of whether experienced or beginner, ICT training programs improve teachers’ competence and knowledge in computers (Bauer &amp; Kenton, 2005; Franklin, 2007; Wozney et al., 2006), positively affect teachers’ attitudes towards computers  (Hew and Brush, 2007; Keengwe and Onchwari, 2008) and also help teachers to recognize and understand the function of technologies and how new technologies can be significant to students’ learning (Plair, 2008). In line with Muller and his colleagues (2008), it should be mentioned that technology training programs and professional development are essential factors for successful integration of ICT in language classes; because language teachers’ technology competence and skills are drastically determinant for ICT integration in language classes which finally lead to a successful language teaching and learning and it will help language learners to boost their language skills more efficiently and effectively. According to Sandholtz &amp; Reilly (2004), training programs which focus on ICT pedagogical training instead of technical issues assist teachers to use technologies in teaching-learning processes. Recent studies demonstrate that professional training programs assist teachers to implement and integrate technologies and thus transform teaching practices (Brinkerhoff, 2006; Diehl, 2005). Teachers may implement and integrate ICTs into their teaching especially when training programs focus on value, subject matter and the technology. </w:t>
      </w:r>
    </w:p>
    <w:p w:rsidR="007600EB" w:rsidRPr="00FF21E3" w:rsidRDefault="007600EB" w:rsidP="001541F7">
      <w:pPr>
        <w:rPr>
          <w:rFonts w:ascii="Segoe UI" w:hAnsi="Segoe UI" w:cs="Segoe UI"/>
          <w:sz w:val="12"/>
          <w:szCs w:val="12"/>
        </w:rPr>
      </w:pPr>
      <w:r w:rsidRPr="00FF21E3">
        <w:t xml:space="preserve">Plair (2008) asserts that teachers need experts in technology to indicate clearly the right way of integration of ICT in order to facilitate students’ learning. Teachers’ perceptions of content knowledge and the ways in which they can employ new technologies to support students learning are as closely associated with their improvement in knowledge level, attitudes towards technology and confidence. Language teachers who incorporate and integrate technology </w:t>
      </w:r>
      <w:r w:rsidRPr="00FF21E3">
        <w:lastRenderedPageBreak/>
        <w:t>obtained through professional training programs with new teaching strategies can effectively transform the students’ performance. Professional training programs for language teachers that involve strategies and practices to address skills, knowledge and beliefs can develop teachers’ insights and awareness regarding the transformations in language teaching-learning activities.  </w:t>
      </w:r>
    </w:p>
    <w:p w:rsidR="007600EB" w:rsidRPr="00FF21E3" w:rsidRDefault="007600EB" w:rsidP="00EC0E35">
      <w:pPr>
        <w:pStyle w:val="Heading4"/>
        <w:rPr>
          <w:rFonts w:ascii="Segoe UI" w:hAnsi="Segoe UI" w:cs="Segoe UI"/>
          <w:sz w:val="12"/>
          <w:szCs w:val="12"/>
        </w:rPr>
      </w:pPr>
      <w:r w:rsidRPr="00FF21E3">
        <w:t>Accessibility </w:t>
      </w:r>
    </w:p>
    <w:p w:rsidR="007600EB" w:rsidRPr="00FF21E3" w:rsidRDefault="007600EB" w:rsidP="001541F7">
      <w:pPr>
        <w:rPr>
          <w:rFonts w:ascii="Segoe UI" w:hAnsi="Segoe UI" w:cs="Segoe UI"/>
          <w:sz w:val="12"/>
          <w:szCs w:val="12"/>
        </w:rPr>
      </w:pPr>
      <w:r w:rsidRPr="00FF21E3">
        <w:t>As Plomp, Anderson, Law, &amp; Quale (2009) assert, access to ICT infrastructure and technological resources in schools is an essential condition to the implementation and integration of ICT in education. Successful and effective integration of ICTs in language classes primarily depends on the accessibility and availability of ICT resources in educational organizations or schools. If language teachers cannot access new technologies or ICT resources, obviously they will not use them. Thus, having access to computers, modern technologies, updated software and hardware are central elements to effective and successful integration of technologies in language teaching. According to Yildrim (2007) access to technological resources is one of the significant ways to teachers’ pedagogical usage of ICTs in teaching. </w:t>
      </w:r>
    </w:p>
    <w:p w:rsidR="007600EB" w:rsidRPr="00FF21E3" w:rsidRDefault="007600EB" w:rsidP="001541F7">
      <w:pPr>
        <w:rPr>
          <w:rFonts w:ascii="Segoe UI" w:hAnsi="Segoe UI" w:cs="Segoe UI"/>
          <w:sz w:val="12"/>
          <w:szCs w:val="12"/>
        </w:rPr>
      </w:pPr>
      <w:r w:rsidRPr="00FF21E3">
        <w:t xml:space="preserve">It is obvious that access to software and hardware </w:t>
      </w:r>
      <w:r w:rsidR="003F18E7">
        <w:t>must be complemented with</w:t>
      </w:r>
      <w:r w:rsidRPr="00FF21E3">
        <w:t xml:space="preserve"> employment of appropriate tools and programs and technologies to support teaching-learning processes</w:t>
      </w:r>
      <w:r w:rsidR="003F18E7">
        <w:t>. A</w:t>
      </w:r>
      <w:r w:rsidRPr="00FF21E3">
        <w:t xml:space="preserve">ccess to suitable technological resources implies that affordances and limitations of a technological tool </w:t>
      </w:r>
      <w:r w:rsidR="003F18E7">
        <w:t>are</w:t>
      </w:r>
      <w:r w:rsidRPr="00FF21E3">
        <w:t xml:space="preserve"> considered when the tool is to be integrated in teaching</w:t>
      </w:r>
      <w:r w:rsidR="003F18E7">
        <w:t>. It</w:t>
      </w:r>
      <w:r w:rsidRPr="00FF21E3">
        <w:t xml:space="preserve"> is essential to </w:t>
      </w:r>
      <w:r w:rsidR="003F18E7">
        <w:t>know how each resource impacts learning</w:t>
      </w:r>
      <w:r w:rsidRPr="00FF21E3">
        <w:t xml:space="preserve"> in order to apply the most effective ones in teaching.  </w:t>
      </w:r>
    </w:p>
    <w:p w:rsidR="007600EB" w:rsidRPr="00FF21E3" w:rsidRDefault="007600EB" w:rsidP="00EC0E35">
      <w:pPr>
        <w:pStyle w:val="Heading4"/>
        <w:rPr>
          <w:rFonts w:ascii="Segoe UI" w:hAnsi="Segoe UI" w:cs="Segoe UI"/>
          <w:sz w:val="12"/>
          <w:szCs w:val="12"/>
        </w:rPr>
      </w:pPr>
      <w:r w:rsidRPr="00FF21E3">
        <w:t xml:space="preserve">Technical </w:t>
      </w:r>
      <w:r w:rsidR="00EC0E35">
        <w:t>s</w:t>
      </w:r>
      <w:r w:rsidRPr="00FF21E3">
        <w:t>upport </w:t>
      </w:r>
    </w:p>
    <w:p w:rsidR="007600EB" w:rsidRPr="00FF21E3" w:rsidRDefault="007600EB" w:rsidP="001541F7">
      <w:pPr>
        <w:rPr>
          <w:rFonts w:ascii="Segoe UI" w:hAnsi="Segoe UI" w:cs="Segoe UI"/>
          <w:sz w:val="12"/>
          <w:szCs w:val="12"/>
        </w:rPr>
      </w:pPr>
      <w:r w:rsidRPr="00FF21E3">
        <w:t>According to Jones (2004), computer breakdown</w:t>
      </w:r>
      <w:r w:rsidR="003F18E7">
        <w:t>s</w:t>
      </w:r>
      <w:r w:rsidRPr="00FF21E3">
        <w:t xml:space="preserve"> lead to disruption and if there is lack of technical support</w:t>
      </w:r>
      <w:r w:rsidR="003F18E7">
        <w:t>,</w:t>
      </w:r>
      <w:r w:rsidRPr="00FF21E3">
        <w:t xml:space="preserve"> normal and regular repairs of computer will not be done </w:t>
      </w:r>
      <w:r w:rsidR="003F18E7">
        <w:t>and</w:t>
      </w:r>
      <w:r w:rsidRPr="00FF21E3">
        <w:t xml:space="preserve"> teachers not necessarily us</w:t>
      </w:r>
      <w:r w:rsidR="003F18E7">
        <w:t>e</w:t>
      </w:r>
      <w:r w:rsidRPr="00FF21E3">
        <w:t xml:space="preserve"> computers in their teaching. The consequence is that teachers will be frustrated and discouraged from employing computers in their teaching because of the fear of equipment failure, due to the fact that no one would give them technical support and nobody will assist them in case if there is a technical problem. Yilmaz, (2011) in his study of evaluating the technological integration in Turkish educational organization, asserts that besides providing technological equipments such as software, hardware and internet, it is also very essential to provide technical support in schools regarding the repair and support for the use of ICTs in schools. If there is not sufficient technical support for language teachers, they become discouraged and </w:t>
      </w:r>
      <w:r w:rsidR="00D04A04">
        <w:t>this</w:t>
      </w:r>
      <w:r w:rsidRPr="00FF21E3">
        <w:t xml:space="preserve"> leads to their reluctancy to use ICTs in teaching. On the other hand, if there is sufficient technical support in schools, it can easily encourage teachers to implement and integrate ICT in their teaching and it will develop their interest and exuberanc</w:t>
      </w:r>
      <w:r w:rsidR="00D04A04">
        <w:t>e</w:t>
      </w:r>
      <w:r w:rsidRPr="00FF21E3">
        <w:t xml:space="preserve"> to effectively use new technologies in teaching-learning processes.  </w:t>
      </w:r>
    </w:p>
    <w:p w:rsidR="007600EB" w:rsidRPr="00FF21E3" w:rsidRDefault="007600EB" w:rsidP="00EC0E35">
      <w:pPr>
        <w:pStyle w:val="Heading7"/>
        <w:rPr>
          <w:rFonts w:ascii="Segoe UI" w:hAnsi="Segoe UI" w:cs="Segoe UI"/>
          <w:sz w:val="12"/>
          <w:szCs w:val="12"/>
        </w:rPr>
      </w:pPr>
      <w:r w:rsidRPr="00FF21E3">
        <w:t xml:space="preserve">Technological </w:t>
      </w:r>
      <w:r w:rsidR="00D04A04">
        <w:t>c</w:t>
      </w:r>
      <w:r w:rsidRPr="00FF21E3">
        <w:t>haracteristics </w:t>
      </w:r>
    </w:p>
    <w:p w:rsidR="007600EB" w:rsidRPr="00FF21E3" w:rsidRDefault="007600EB" w:rsidP="001541F7">
      <w:pPr>
        <w:rPr>
          <w:rFonts w:ascii="Segoe UI" w:hAnsi="Segoe UI" w:cs="Segoe UI"/>
          <w:sz w:val="12"/>
          <w:szCs w:val="12"/>
        </w:rPr>
      </w:pPr>
      <w:r w:rsidRPr="00FF21E3">
        <w:t>One of the main factors which can affect the diffusion of innovation and as well innovation adaption is technological characteristic. According to Rogers (2003), innovation attributes namely: compatibility, trialability, relative advantages, observabiliy and complexity as perceived by people affect the rate of adoption. He asserts that understanding the perceptions of innovation has a substantial effect on future prognostication of the adoption of specific innovation. Understanding teachers’ perception of innovation is a significant factor to the successful adoption and integration of technology in teaching and learning.  According to Groff &amp; Mouza (2008), teachers operate as innovators when they integrate ICT in teaching.  </w:t>
      </w:r>
    </w:p>
    <w:p w:rsidR="007600EB" w:rsidRPr="00FF21E3" w:rsidRDefault="007600EB" w:rsidP="001541F7">
      <w:pPr>
        <w:rPr>
          <w:rFonts w:ascii="Segoe UI" w:hAnsi="Segoe UI" w:cs="Segoe UI"/>
          <w:sz w:val="12"/>
          <w:szCs w:val="12"/>
        </w:rPr>
      </w:pPr>
      <w:r w:rsidRPr="00FF21E3">
        <w:t xml:space="preserve">In line with Smarkola (2007), perceived ease of use and perceived usefulness are also predictors of the user acceptance of new technologies. Innovations or new technologies which offer useful advantages, trialability, less intricacy, compatibility with existing beliefs and practices and observability are among the most significant factors in prognosticating and predicting teachers </w:t>
      </w:r>
      <w:r w:rsidRPr="00FF21E3">
        <w:lastRenderedPageBreak/>
        <w:t>intentions to utilize technologies. If teachers, thus, perceive that new technologies and innovations have significant advantages over the existing ones, easy to adopt, compatible with their personal and social needs, tiralable in advanced before using, and finally have observable results, it is likely that teachers will adopt, implement and integrate them quickly.  </w:t>
      </w:r>
    </w:p>
    <w:p w:rsidR="007600EB" w:rsidRPr="00FF21E3" w:rsidRDefault="007600EB" w:rsidP="00EC0E35">
      <w:pPr>
        <w:pStyle w:val="Heading7"/>
        <w:rPr>
          <w:rFonts w:ascii="Segoe UI" w:hAnsi="Segoe UI" w:cs="Segoe UI"/>
          <w:sz w:val="12"/>
          <w:szCs w:val="12"/>
        </w:rPr>
      </w:pPr>
      <w:r w:rsidRPr="00FF21E3">
        <w:t>Conclusion</w:t>
      </w:r>
    </w:p>
    <w:p w:rsidR="007600EB" w:rsidRPr="00FF21E3" w:rsidRDefault="007600EB" w:rsidP="001541F7">
      <w:pPr>
        <w:rPr>
          <w:rFonts w:ascii="Segoe UI" w:hAnsi="Segoe UI" w:cs="Segoe UI"/>
          <w:sz w:val="12"/>
          <w:szCs w:val="12"/>
        </w:rPr>
      </w:pPr>
      <w:r w:rsidRPr="00FF21E3">
        <w:t>It is a fact that the rise of new technology has made its adoption and integration more complicated for teachers. The effective and successful integration of new technologies into the classroom and teaching activities creates a challenge to language teachers connecting computer systems to network. For a successful, effective and productive integration of ICT in language teaching, this study has pointed out the factors which positively and negatively affect language teachers’ use of ICT.   These include: (1) personal factors (2) institutional factors and (3) technological factors. </w:t>
      </w:r>
    </w:p>
    <w:p w:rsidR="007600EB" w:rsidRPr="00FF21E3" w:rsidRDefault="007600EB" w:rsidP="001541F7">
      <w:pPr>
        <w:rPr>
          <w:rFonts w:ascii="Segoe UI" w:hAnsi="Segoe UI" w:cs="Segoe UI"/>
          <w:sz w:val="12"/>
          <w:szCs w:val="12"/>
        </w:rPr>
      </w:pPr>
      <w:r w:rsidRPr="00FF21E3">
        <w:t>On the personal perspective or level, there are several factors which affect language teachers’ utilization of ICTs in language teaching. Factors such as teachers’ knowledge and understanding, feelings and emotions, and teachers’ attitudes affect the use of ICT in language classes.</w:t>
      </w:r>
      <w:r w:rsidR="00D04A04">
        <w:t xml:space="preserve"> </w:t>
      </w:r>
      <w:r w:rsidRPr="00FF21E3">
        <w:t>Teachers’ attitudes towards new technologies affect their acceptance of usefulness of the technologies and consequently their integration into teaching. Teachers positive attitudes towards the use of modern educational technologies in teaching, can easily establish useful insights about the integration of ICTs into teaching-learning processes.</w:t>
      </w:r>
    </w:p>
    <w:p w:rsidR="007600EB" w:rsidRPr="00FF21E3" w:rsidRDefault="007600EB" w:rsidP="001541F7">
      <w:pPr>
        <w:rPr>
          <w:rFonts w:ascii="Segoe UI" w:hAnsi="Segoe UI" w:cs="Segoe UI"/>
          <w:sz w:val="12"/>
          <w:szCs w:val="12"/>
        </w:rPr>
      </w:pPr>
      <w:r w:rsidRPr="00FF21E3">
        <w:t xml:space="preserve">On the school or institutional level, many factors such as professional training programs, funding, technical support, and facilities affect language teachers’ adoption and integration of ICTs into their teaching. </w:t>
      </w:r>
      <w:r w:rsidR="00D04A04">
        <w:t>T</w:t>
      </w:r>
      <w:r w:rsidRPr="00FF21E3">
        <w:t>eache</w:t>
      </w:r>
      <w:r w:rsidR="00D04A04">
        <w:t>rs’</w:t>
      </w:r>
      <w:r w:rsidRPr="00FF21E3">
        <w:t xml:space="preserve"> professional development is a central factor to an effective and successful ICT integration into teaching. ICT professional training programs improve teachers’ competence in ICT use, affect teachers’ attitudes towards computers and help teachers to perceive the function of new technologies  </w:t>
      </w:r>
    </w:p>
    <w:p w:rsidR="007600EB" w:rsidRPr="00FF21E3" w:rsidRDefault="007600EB" w:rsidP="001541F7">
      <w:pPr>
        <w:rPr>
          <w:rFonts w:ascii="Segoe UI" w:hAnsi="Segoe UI" w:cs="Segoe UI"/>
          <w:sz w:val="12"/>
          <w:szCs w:val="12"/>
        </w:rPr>
      </w:pPr>
      <w:r w:rsidRPr="00FF21E3">
        <w:t xml:space="preserve">On the technological level, for an effective use and a successful integration of ICTs into language teaching classes, teachers should perceive the new technologies as better than former practices, in line with their existing values, previous experiences and needs; easy to make use of and work with, </w:t>
      </w:r>
      <w:r w:rsidR="00D04A04">
        <w:t>opportunity to</w:t>
      </w:r>
      <w:r w:rsidRPr="00FF21E3">
        <w:t xml:space="preserve"> experiment before deciding about the adoption and integration in the classroom and finally observability of outcomes or in other words, the result of innovation and new technology usage are visible.</w:t>
      </w:r>
      <w:r w:rsidR="00D04A04">
        <w:t xml:space="preserve"> </w:t>
      </w:r>
      <w:r w:rsidRPr="00FF21E3">
        <w:t xml:space="preserve"> Many language teachers hesitate to alter an existing or a current method to something that they know </w:t>
      </w:r>
      <w:r w:rsidR="00D04A04">
        <w:t>only from</w:t>
      </w:r>
      <w:r w:rsidRPr="00FF21E3">
        <w:t xml:space="preserve"> discussion and reading and not </w:t>
      </w:r>
      <w:r w:rsidR="0055157A">
        <w:t>by</w:t>
      </w:r>
      <w:r w:rsidRPr="00FF21E3">
        <w:t xml:space="preserve"> actual observation. </w:t>
      </w:r>
      <w:r w:rsidR="0055157A">
        <w:t>T</w:t>
      </w:r>
      <w:r w:rsidRPr="00FF21E3">
        <w:t>eachers’ attitudes towards ICT and use of modern technologies in their classroom is a key factor for a successful integration in</w:t>
      </w:r>
      <w:r w:rsidR="0055157A">
        <w:t>to the</w:t>
      </w:r>
      <w:r w:rsidRPr="00FF21E3">
        <w:t xml:space="preserve"> teaching </w:t>
      </w:r>
      <w:r w:rsidR="0055157A">
        <w:t>-</w:t>
      </w:r>
      <w:r w:rsidRPr="00FF21E3">
        <w:t xml:space="preserve"> learning process. </w:t>
      </w:r>
      <w:r w:rsidR="0055157A">
        <w:t>I</w:t>
      </w:r>
      <w:r w:rsidRPr="00FF21E3">
        <w:t>f teachers possess negative attitudes towards new technologies, even providing the best ICT facilities and innovations may not persuade them to utilize it in their teaching. Teachers, thus, need to be certain that technology can make their teaching processes much easier, interesting, more enjoyable, motivating and fun for themselves and as well as for the students.</w:t>
      </w:r>
    </w:p>
    <w:p w:rsidR="007600EB" w:rsidRPr="00FF21E3" w:rsidRDefault="007600EB" w:rsidP="001541F7">
      <w:pPr>
        <w:rPr>
          <w:rFonts w:ascii="Segoe UI" w:hAnsi="Segoe UI" w:cs="Segoe UI"/>
          <w:sz w:val="12"/>
          <w:szCs w:val="12"/>
        </w:rPr>
      </w:pPr>
      <w:r w:rsidRPr="00FF21E3">
        <w:t xml:space="preserve">Finally, barriers </w:t>
      </w:r>
      <w:r w:rsidR="0055157A">
        <w:t>that</w:t>
      </w:r>
      <w:r w:rsidRPr="00FF21E3">
        <w:t xml:space="preserve"> frustrate and discourage language teachers were discussed. These factors </w:t>
      </w:r>
      <w:r w:rsidR="0055157A">
        <w:t xml:space="preserve">can be </w:t>
      </w:r>
      <w:r w:rsidRPr="00FF21E3">
        <w:t>classified into institutional or school level, teacher-level, and system level. The institutional or school-level barriers include lack of appropriate educational software, absence of information and communication technologies (ICTs), old and outdated hardware and software, limited access to ICTs, and limited ICT project experience. The teacher-level barriers comprise lack of teachers’ confidence, lack of teachers’ ICT knowledge and skills, lack of pedagogical teacher training and lack of exuberanc</w:t>
      </w:r>
      <w:r w:rsidR="0055157A">
        <w:t>e</w:t>
      </w:r>
      <w:r w:rsidRPr="00FF21E3">
        <w:t xml:space="preserve"> to use ICT in teaching. The system-level barriers consist of traditional assessment, inflexible structure of traditional educational system, restricted and inflexible curricula and organization structure. As Becta (2004) depicts</w:t>
      </w:r>
      <w:r w:rsidR="0055157A">
        <w:t>,</w:t>
      </w:r>
      <w:r w:rsidRPr="00FF21E3">
        <w:t xml:space="preserve"> knowing and realizing the extent to which these barriers can influence institutions and individuals will help in making decisions on how to handle and tackle them.</w:t>
      </w:r>
    </w:p>
    <w:p w:rsidR="007600EB" w:rsidRPr="00FF21E3" w:rsidRDefault="007600EB" w:rsidP="00EC0E35">
      <w:pPr>
        <w:pStyle w:val="Heading7"/>
        <w:rPr>
          <w:rFonts w:ascii="Segoe UI" w:hAnsi="Segoe UI" w:cs="Segoe UI"/>
          <w:sz w:val="12"/>
          <w:szCs w:val="12"/>
        </w:rPr>
      </w:pPr>
      <w:r w:rsidRPr="00FF21E3">
        <w:lastRenderedPageBreak/>
        <w:t>References </w:t>
      </w:r>
    </w:p>
    <w:p w:rsidR="007600EB" w:rsidRPr="00BF3A3F" w:rsidRDefault="007600EB" w:rsidP="00EC0E35">
      <w:pPr>
        <w:ind w:left="720" w:hanging="720"/>
        <w:rPr>
          <w:rFonts w:ascii="Segoe UI" w:hAnsi="Segoe UI" w:cs="Segoe UI"/>
          <w:sz w:val="20"/>
        </w:rPr>
      </w:pPr>
      <w:r w:rsidRPr="00BF3A3F">
        <w:rPr>
          <w:sz w:val="20"/>
        </w:rPr>
        <w:t>Abuhmaid, A. (2011). ICT training courses for teacher professional development in Jordan.  </w:t>
      </w:r>
      <w:r w:rsidRPr="00BF3A3F">
        <w:rPr>
          <w:i/>
          <w:iCs/>
          <w:sz w:val="20"/>
        </w:rPr>
        <w:t>Turkish Online Journal of Educational Technology</w:t>
      </w:r>
      <w:r w:rsidRPr="00BF3A3F">
        <w:rPr>
          <w:sz w:val="20"/>
        </w:rPr>
        <w:t xml:space="preserve">, </w:t>
      </w:r>
      <w:r w:rsidR="0055157A">
        <w:rPr>
          <w:sz w:val="20"/>
        </w:rPr>
        <w:t>V</w:t>
      </w:r>
      <w:r w:rsidRPr="00BF3A3F">
        <w:rPr>
          <w:sz w:val="20"/>
        </w:rPr>
        <w:t xml:space="preserve">ol .10, </w:t>
      </w:r>
      <w:r w:rsidR="0055157A">
        <w:rPr>
          <w:sz w:val="20"/>
        </w:rPr>
        <w:t xml:space="preserve">No. </w:t>
      </w:r>
      <w:r w:rsidRPr="00BF3A3F">
        <w:rPr>
          <w:sz w:val="20"/>
        </w:rPr>
        <w:t xml:space="preserve">4, pp. 195-210. Retrieved Nov 14, 2011 from </w:t>
      </w:r>
      <w:hyperlink r:id="rId49" w:history="1">
        <w:r w:rsidRPr="009557A7">
          <w:rPr>
            <w:rStyle w:val="Hyperlink"/>
            <w:sz w:val="20"/>
          </w:rPr>
          <w:t>http://www.tojet.net/articles/10420.pdf</w:t>
        </w:r>
      </w:hyperlink>
      <w:r w:rsidRPr="00BF3A3F">
        <w:rPr>
          <w:sz w:val="20"/>
        </w:rPr>
        <w:t>  </w:t>
      </w:r>
    </w:p>
    <w:p w:rsidR="007600EB" w:rsidRPr="00BF3A3F" w:rsidRDefault="007600EB" w:rsidP="00EC0E35">
      <w:pPr>
        <w:ind w:left="720" w:hanging="720"/>
        <w:rPr>
          <w:rFonts w:ascii="Segoe UI" w:hAnsi="Segoe UI" w:cs="Segoe UI"/>
          <w:sz w:val="20"/>
        </w:rPr>
      </w:pPr>
      <w:r w:rsidRPr="00BF3A3F">
        <w:rPr>
          <w:sz w:val="20"/>
        </w:rPr>
        <w:t xml:space="preserve">Adams, N.B. (2002). Educational computing concerns of postsecondary faculty. </w:t>
      </w:r>
      <w:r>
        <w:rPr>
          <w:i/>
          <w:iCs/>
          <w:sz w:val="20"/>
        </w:rPr>
        <w:t>Research</w:t>
      </w:r>
      <w:r w:rsidRPr="00BF3A3F">
        <w:rPr>
          <w:i/>
          <w:iCs/>
          <w:sz w:val="20"/>
        </w:rPr>
        <w:t xml:space="preserve"> on Technology in Education</w:t>
      </w:r>
      <w:r w:rsidRPr="00BF3A3F">
        <w:rPr>
          <w:sz w:val="20"/>
        </w:rPr>
        <w:t xml:space="preserve">, </w:t>
      </w:r>
      <w:r w:rsidR="0055157A">
        <w:rPr>
          <w:sz w:val="20"/>
        </w:rPr>
        <w:t xml:space="preserve">Vol. </w:t>
      </w:r>
      <w:r w:rsidRPr="00BF3A3F">
        <w:rPr>
          <w:sz w:val="20"/>
        </w:rPr>
        <w:t xml:space="preserve">34, </w:t>
      </w:r>
      <w:r w:rsidR="0055157A">
        <w:rPr>
          <w:sz w:val="20"/>
        </w:rPr>
        <w:t xml:space="preserve">No. </w:t>
      </w:r>
      <w:r w:rsidRPr="00BF3A3F">
        <w:rPr>
          <w:sz w:val="20"/>
        </w:rPr>
        <w:t>3, pp. 285-303.  </w:t>
      </w:r>
    </w:p>
    <w:p w:rsidR="007600EB" w:rsidRPr="00BF3A3F" w:rsidRDefault="007600EB" w:rsidP="00EC0E35">
      <w:pPr>
        <w:ind w:left="720" w:hanging="720"/>
        <w:rPr>
          <w:rFonts w:ascii="Segoe UI" w:hAnsi="Segoe UI" w:cs="Segoe UI"/>
          <w:sz w:val="20"/>
        </w:rPr>
      </w:pPr>
      <w:r w:rsidRPr="00BF3A3F">
        <w:rPr>
          <w:sz w:val="20"/>
        </w:rPr>
        <w:t xml:space="preserve">Anderson, R. E. &amp; Dexter, S. (2005). School technology leadership: An empirical investigation of prevalence and effect. </w:t>
      </w:r>
      <w:r w:rsidRPr="00BF3A3F">
        <w:rPr>
          <w:i/>
          <w:iCs/>
          <w:sz w:val="20"/>
        </w:rPr>
        <w:t>Educational Administration Quarterly</w:t>
      </w:r>
      <w:r w:rsidRPr="00BF3A3F">
        <w:rPr>
          <w:sz w:val="20"/>
        </w:rPr>
        <w:t xml:space="preserve">, </w:t>
      </w:r>
      <w:r w:rsidR="0055157A">
        <w:rPr>
          <w:sz w:val="20"/>
        </w:rPr>
        <w:t xml:space="preserve">Vol. </w:t>
      </w:r>
      <w:r w:rsidRPr="00BF3A3F">
        <w:rPr>
          <w:sz w:val="20"/>
        </w:rPr>
        <w:t xml:space="preserve">41, </w:t>
      </w:r>
      <w:r w:rsidR="0055157A">
        <w:rPr>
          <w:sz w:val="20"/>
        </w:rPr>
        <w:t xml:space="preserve">No. </w:t>
      </w:r>
      <w:r w:rsidRPr="00BF3A3F">
        <w:rPr>
          <w:sz w:val="20"/>
        </w:rPr>
        <w:t>1, pp. 49-82.  </w:t>
      </w:r>
    </w:p>
    <w:p w:rsidR="007600EB" w:rsidRPr="00BF3A3F" w:rsidRDefault="007600EB" w:rsidP="00EC0E35">
      <w:pPr>
        <w:ind w:left="720" w:hanging="720"/>
        <w:rPr>
          <w:rFonts w:ascii="Segoe UI" w:hAnsi="Segoe UI" w:cs="Segoe UI"/>
          <w:sz w:val="20"/>
        </w:rPr>
      </w:pPr>
      <w:r w:rsidRPr="00BF3A3F">
        <w:rPr>
          <w:sz w:val="20"/>
        </w:rPr>
        <w:t xml:space="preserve">Balanskat, A., Blamire, R., &amp; Kafal, S. (2007). </w:t>
      </w:r>
      <w:r w:rsidRPr="00BF3A3F">
        <w:rPr>
          <w:i/>
          <w:iCs/>
          <w:sz w:val="20"/>
        </w:rPr>
        <w:t xml:space="preserve">A review of studies of ICT impact on schools in Europe </w:t>
      </w:r>
      <w:r w:rsidRPr="00BF3A3F">
        <w:rPr>
          <w:sz w:val="20"/>
        </w:rPr>
        <w:t>European Schoolnet. </w:t>
      </w:r>
    </w:p>
    <w:p w:rsidR="007600EB" w:rsidRPr="00BF3A3F" w:rsidRDefault="007600EB" w:rsidP="00EC0E35">
      <w:pPr>
        <w:ind w:left="720" w:hanging="720"/>
        <w:rPr>
          <w:rFonts w:ascii="Segoe UI" w:hAnsi="Segoe UI" w:cs="Segoe UI"/>
          <w:sz w:val="20"/>
        </w:rPr>
      </w:pPr>
      <w:r w:rsidRPr="00BF3A3F">
        <w:rPr>
          <w:sz w:val="20"/>
        </w:rPr>
        <w:t xml:space="preserve">Baek, Y.G., Jong, J., &amp; Kim, B. (2008). What makes teachers use of technology in the classroom? Exploring the factors affecting facilitation of technology with a Korean sample. </w:t>
      </w:r>
      <w:r w:rsidRPr="00BF3A3F">
        <w:rPr>
          <w:i/>
          <w:iCs/>
          <w:sz w:val="20"/>
        </w:rPr>
        <w:t>Computers and Education</w:t>
      </w:r>
      <w:r w:rsidRPr="00BF3A3F">
        <w:rPr>
          <w:sz w:val="20"/>
        </w:rPr>
        <w:t xml:space="preserve">, </w:t>
      </w:r>
      <w:r w:rsidR="0055157A">
        <w:rPr>
          <w:sz w:val="20"/>
        </w:rPr>
        <w:t xml:space="preserve">Vol. </w:t>
      </w:r>
      <w:r w:rsidRPr="00BF3A3F">
        <w:rPr>
          <w:sz w:val="20"/>
        </w:rPr>
        <w:t xml:space="preserve">50, </w:t>
      </w:r>
      <w:r w:rsidR="0055157A">
        <w:rPr>
          <w:sz w:val="20"/>
        </w:rPr>
        <w:t xml:space="preserve">No. </w:t>
      </w:r>
      <w:r w:rsidRPr="00BF3A3F">
        <w:rPr>
          <w:sz w:val="20"/>
        </w:rPr>
        <w:t>8, pp. 224-234.</w:t>
      </w:r>
    </w:p>
    <w:p w:rsidR="007600EB" w:rsidRPr="00BF3A3F" w:rsidRDefault="007600EB" w:rsidP="00EC0E35">
      <w:pPr>
        <w:ind w:left="720" w:hanging="720"/>
        <w:rPr>
          <w:rFonts w:ascii="Segoe UI" w:hAnsi="Segoe UI" w:cs="Segoe UI"/>
          <w:sz w:val="20"/>
        </w:rPr>
      </w:pPr>
      <w:r w:rsidRPr="00BF3A3F">
        <w:rPr>
          <w:sz w:val="20"/>
        </w:rPr>
        <w:t xml:space="preserve">Bauer, J., &amp; Kenton, J. (2005). Toward technology integration in the schools: Why it isn’t happening. </w:t>
      </w:r>
      <w:r w:rsidRPr="00BF3A3F">
        <w:rPr>
          <w:i/>
          <w:iCs/>
          <w:sz w:val="20"/>
        </w:rPr>
        <w:t>Journal of Technology and Teacher Education,</w:t>
      </w:r>
      <w:r w:rsidRPr="00BF3A3F">
        <w:rPr>
          <w:sz w:val="20"/>
        </w:rPr>
        <w:t xml:space="preserve"> </w:t>
      </w:r>
      <w:r w:rsidR="0055157A">
        <w:rPr>
          <w:sz w:val="20"/>
        </w:rPr>
        <w:t xml:space="preserve">Vol. </w:t>
      </w:r>
      <w:r w:rsidRPr="00BF3A3F">
        <w:rPr>
          <w:sz w:val="20"/>
        </w:rPr>
        <w:t xml:space="preserve">13, </w:t>
      </w:r>
      <w:r w:rsidR="0055157A">
        <w:rPr>
          <w:sz w:val="20"/>
        </w:rPr>
        <w:t xml:space="preserve">No. </w:t>
      </w:r>
      <w:r w:rsidRPr="00BF3A3F">
        <w:rPr>
          <w:sz w:val="20"/>
        </w:rPr>
        <w:t>4,pp. 519–546.</w:t>
      </w:r>
    </w:p>
    <w:p w:rsidR="007600EB" w:rsidRPr="00BF3A3F" w:rsidRDefault="007600EB" w:rsidP="00EC0E35">
      <w:pPr>
        <w:ind w:left="720" w:hanging="720"/>
        <w:rPr>
          <w:rFonts w:ascii="Segoe UI" w:hAnsi="Segoe UI" w:cs="Segoe UI"/>
          <w:sz w:val="20"/>
        </w:rPr>
      </w:pPr>
      <w:r w:rsidRPr="00BF3A3F">
        <w:rPr>
          <w:sz w:val="20"/>
        </w:rPr>
        <w:t xml:space="preserve">Becta (2008). Harnessing Technology: Schools Survey 2008. Retrieved October 20, 2011 from </w:t>
      </w:r>
      <w:r w:rsidRPr="00BF3A3F">
        <w:rPr>
          <w:color w:val="0000FF"/>
          <w:sz w:val="20"/>
          <w:u w:val="single"/>
        </w:rPr>
        <w:t>http://emergingtechnologies.becta.org.uk/uploaddir/downloads/page_documents/reearch/ht_schools_survey08_analysis.pdf</w:t>
      </w:r>
    </w:p>
    <w:p w:rsidR="007600EB" w:rsidRPr="00BF3A3F" w:rsidRDefault="007600EB" w:rsidP="00EC0E35">
      <w:pPr>
        <w:ind w:left="720" w:hanging="720"/>
        <w:rPr>
          <w:rFonts w:ascii="Segoe UI" w:hAnsi="Segoe UI" w:cs="Segoe UI"/>
          <w:sz w:val="20"/>
        </w:rPr>
      </w:pPr>
      <w:r w:rsidRPr="00BF3A3F">
        <w:rPr>
          <w:sz w:val="20"/>
        </w:rPr>
        <w:t xml:space="preserve">Becta. (2004). A review of the research literature on barriers to the uptake of ICT by teachers.  Retrieved  June 10, 2010, from </w:t>
      </w:r>
      <w:r w:rsidRPr="00042677">
        <w:rPr>
          <w:color w:val="0000FF"/>
          <w:sz w:val="20"/>
          <w:u w:val="single"/>
        </w:rPr>
        <w:t>http://partners.becta.org.uk/page_documents/research/barriers.pdf</w:t>
      </w:r>
      <w:r w:rsidRPr="00BF3A3F">
        <w:rPr>
          <w:sz w:val="20"/>
        </w:rPr>
        <w:t>.</w:t>
      </w:r>
    </w:p>
    <w:p w:rsidR="007600EB" w:rsidRPr="00BF3A3F" w:rsidRDefault="007600EB" w:rsidP="00EC0E35">
      <w:pPr>
        <w:ind w:left="720" w:hanging="720"/>
        <w:rPr>
          <w:rFonts w:ascii="Segoe UI" w:hAnsi="Segoe UI" w:cs="Segoe UI"/>
          <w:sz w:val="20"/>
        </w:rPr>
      </w:pPr>
      <w:r w:rsidRPr="00BF3A3F">
        <w:rPr>
          <w:sz w:val="20"/>
        </w:rPr>
        <w:t>Bordbar, F. (2010).  English teachers’ attitudes toward computer-assisted language learning. </w:t>
      </w:r>
      <w:r w:rsidRPr="00BF3A3F">
        <w:rPr>
          <w:i/>
          <w:iCs/>
          <w:sz w:val="20"/>
        </w:rPr>
        <w:t>International Journal of Language Studies</w:t>
      </w:r>
      <w:r w:rsidRPr="00BF3A3F">
        <w:rPr>
          <w:sz w:val="20"/>
        </w:rPr>
        <w:t xml:space="preserve">, </w:t>
      </w:r>
      <w:r w:rsidR="0055157A">
        <w:rPr>
          <w:sz w:val="20"/>
        </w:rPr>
        <w:t xml:space="preserve">Vol. </w:t>
      </w:r>
      <w:r w:rsidRPr="00BF3A3F">
        <w:rPr>
          <w:sz w:val="20"/>
        </w:rPr>
        <w:t xml:space="preserve">4, </w:t>
      </w:r>
      <w:r w:rsidR="0055157A">
        <w:rPr>
          <w:sz w:val="20"/>
        </w:rPr>
        <w:t xml:space="preserve">No. </w:t>
      </w:r>
      <w:r w:rsidRPr="00BF3A3F">
        <w:rPr>
          <w:sz w:val="20"/>
        </w:rPr>
        <w:t>3, pp. 27-54</w:t>
      </w:r>
    </w:p>
    <w:p w:rsidR="007600EB" w:rsidRPr="00BF3A3F" w:rsidRDefault="007600EB" w:rsidP="00EC0E35">
      <w:pPr>
        <w:ind w:left="720" w:hanging="720"/>
        <w:rPr>
          <w:rFonts w:ascii="Segoe UI" w:hAnsi="Segoe UI" w:cs="Segoe UI"/>
          <w:sz w:val="20"/>
        </w:rPr>
      </w:pPr>
      <w:r w:rsidRPr="00BF3A3F">
        <w:rPr>
          <w:sz w:val="20"/>
        </w:rPr>
        <w:t>Chen, R.-J. (2010). Investigating models for preservice teacher</w:t>
      </w:r>
      <w:r>
        <w:rPr>
          <w:sz w:val="20"/>
        </w:rPr>
        <w:t>s’ use of technology to support</w:t>
      </w:r>
      <w:r w:rsidRPr="00BF3A3F">
        <w:rPr>
          <w:sz w:val="20"/>
        </w:rPr>
        <w:t xml:space="preserve"> student-centered learning. </w:t>
      </w:r>
      <w:r w:rsidRPr="00BF3A3F">
        <w:rPr>
          <w:i/>
          <w:iCs/>
          <w:sz w:val="20"/>
        </w:rPr>
        <w:t>Computers &amp; Education</w:t>
      </w:r>
      <w:r w:rsidRPr="00BF3A3F">
        <w:rPr>
          <w:sz w:val="20"/>
        </w:rPr>
        <w:t xml:space="preserve"> in Press. Chen, C. -H. (2008). Why do teachers not practice what they believe regarding technology integration? </w:t>
      </w:r>
      <w:r w:rsidRPr="00BF3A3F">
        <w:rPr>
          <w:i/>
          <w:iCs/>
          <w:sz w:val="20"/>
        </w:rPr>
        <w:t>The Journal of Educational Research</w:t>
      </w:r>
      <w:r w:rsidRPr="00BF3A3F">
        <w:rPr>
          <w:sz w:val="20"/>
        </w:rPr>
        <w:t xml:space="preserve">, </w:t>
      </w:r>
      <w:r w:rsidR="0055157A">
        <w:rPr>
          <w:sz w:val="20"/>
        </w:rPr>
        <w:t xml:space="preserve">Vol. </w:t>
      </w:r>
      <w:r w:rsidRPr="00BF3A3F">
        <w:rPr>
          <w:sz w:val="20"/>
        </w:rPr>
        <w:t xml:space="preserve">102, </w:t>
      </w:r>
      <w:r w:rsidR="0055157A">
        <w:rPr>
          <w:sz w:val="20"/>
        </w:rPr>
        <w:t xml:space="preserve">No. </w:t>
      </w:r>
      <w:r w:rsidRPr="00BF3A3F">
        <w:rPr>
          <w:sz w:val="20"/>
        </w:rPr>
        <w:t>1, pp. 65-75.</w:t>
      </w:r>
    </w:p>
    <w:p w:rsidR="007600EB" w:rsidRPr="00BF3A3F" w:rsidRDefault="007600EB" w:rsidP="00EC0E35">
      <w:pPr>
        <w:ind w:left="720" w:hanging="720"/>
        <w:rPr>
          <w:rFonts w:ascii="Segoe UI" w:hAnsi="Segoe UI" w:cs="Segoe UI"/>
          <w:sz w:val="20"/>
        </w:rPr>
      </w:pPr>
      <w:r w:rsidRPr="00BF3A3F">
        <w:rPr>
          <w:sz w:val="20"/>
        </w:rPr>
        <w:t xml:space="preserve">Christensen, R.&amp; Knezek, G. (2006). Pathway for preparing tomorrow's teacher to infuse technology. </w:t>
      </w:r>
      <w:r w:rsidRPr="00BF3A3F">
        <w:rPr>
          <w:i/>
          <w:iCs/>
          <w:sz w:val="20"/>
        </w:rPr>
        <w:t xml:space="preserve">Computers in the schools, </w:t>
      </w:r>
      <w:r w:rsidR="0055157A">
        <w:rPr>
          <w:sz w:val="20"/>
        </w:rPr>
        <w:t xml:space="preserve">Vol. </w:t>
      </w:r>
      <w:r w:rsidRPr="00BF3A3F">
        <w:rPr>
          <w:sz w:val="20"/>
        </w:rPr>
        <w:t xml:space="preserve">23, </w:t>
      </w:r>
      <w:r w:rsidR="0055157A">
        <w:rPr>
          <w:sz w:val="20"/>
        </w:rPr>
        <w:t xml:space="preserve">No. </w:t>
      </w:r>
      <w:r w:rsidRPr="00BF3A3F">
        <w:rPr>
          <w:sz w:val="20"/>
        </w:rPr>
        <w:t>3/4, pp. 1-21.</w:t>
      </w:r>
    </w:p>
    <w:p w:rsidR="007600EB" w:rsidRPr="00BF3A3F" w:rsidRDefault="007600EB" w:rsidP="00EC0E35">
      <w:pPr>
        <w:ind w:left="720" w:hanging="720"/>
        <w:rPr>
          <w:rFonts w:ascii="Segoe UI" w:hAnsi="Segoe UI" w:cs="Segoe UI"/>
          <w:sz w:val="20"/>
        </w:rPr>
      </w:pPr>
      <w:r w:rsidRPr="00BF3A3F">
        <w:rPr>
          <w:sz w:val="20"/>
        </w:rPr>
        <w:t xml:space="preserve">Clausen, J. M. (2007). Beginning teachers’ technology use: First-year teacher development and the institutional context’s affect on new teachers’ instructional technology use with students. </w:t>
      </w:r>
      <w:r w:rsidRPr="00BF3A3F">
        <w:rPr>
          <w:i/>
          <w:iCs/>
          <w:sz w:val="20"/>
        </w:rPr>
        <w:t>Journal of Research on Technology in Education</w:t>
      </w:r>
      <w:r w:rsidRPr="00BF3A3F">
        <w:rPr>
          <w:sz w:val="20"/>
        </w:rPr>
        <w:t xml:space="preserve">, </w:t>
      </w:r>
      <w:r w:rsidR="0055157A">
        <w:rPr>
          <w:sz w:val="20"/>
        </w:rPr>
        <w:t xml:space="preserve">Vol. </w:t>
      </w:r>
      <w:r w:rsidRPr="00BF3A3F">
        <w:rPr>
          <w:sz w:val="20"/>
        </w:rPr>
        <w:t xml:space="preserve">39, </w:t>
      </w:r>
      <w:r w:rsidR="0055157A">
        <w:rPr>
          <w:sz w:val="20"/>
        </w:rPr>
        <w:t xml:space="preserve">No. </w:t>
      </w:r>
      <w:r w:rsidRPr="00BF3A3F">
        <w:rPr>
          <w:sz w:val="20"/>
        </w:rPr>
        <w:t>3, pp. 245–261.</w:t>
      </w:r>
    </w:p>
    <w:p w:rsidR="007600EB" w:rsidRPr="00BF3A3F" w:rsidRDefault="007600EB" w:rsidP="00EC0E35">
      <w:pPr>
        <w:ind w:left="720" w:hanging="720"/>
        <w:rPr>
          <w:rFonts w:ascii="Segoe UI" w:hAnsi="Segoe UI" w:cs="Segoe UI"/>
          <w:sz w:val="20"/>
        </w:rPr>
      </w:pPr>
      <w:r w:rsidRPr="00BF3A3F">
        <w:rPr>
          <w:sz w:val="20"/>
        </w:rPr>
        <w:t xml:space="preserve">Diehl, D.E. (2005). A study of faculty-related variables and competence in integrating instructional technologies into pedagogical practices. </w:t>
      </w:r>
      <w:r w:rsidRPr="00BF3A3F">
        <w:rPr>
          <w:i/>
          <w:iCs/>
          <w:sz w:val="20"/>
        </w:rPr>
        <w:t>Unpublished doctoral dissertation.</w:t>
      </w:r>
      <w:r w:rsidRPr="00BF3A3F">
        <w:rPr>
          <w:sz w:val="20"/>
        </w:rPr>
        <w:t xml:space="preserve"> Texas Southern University.</w:t>
      </w:r>
    </w:p>
    <w:p w:rsidR="007600EB" w:rsidRPr="00BF3A3F" w:rsidRDefault="007600EB" w:rsidP="00EC0E35">
      <w:pPr>
        <w:ind w:left="720" w:hanging="720"/>
        <w:rPr>
          <w:rFonts w:ascii="Segoe UI" w:hAnsi="Segoe UI" w:cs="Segoe UI"/>
          <w:sz w:val="20"/>
        </w:rPr>
      </w:pPr>
      <w:r w:rsidRPr="00BF3A3F">
        <w:rPr>
          <w:sz w:val="20"/>
        </w:rPr>
        <w:t xml:space="preserve">Drent, M., &amp; Meelissen, M. (2008). Which factors obstruct or stimulate teacher educators to use ICT innovatively? </w:t>
      </w:r>
      <w:r w:rsidRPr="00BF3A3F">
        <w:rPr>
          <w:i/>
          <w:iCs/>
          <w:sz w:val="20"/>
        </w:rPr>
        <w:t>Computers &amp; Education,</w:t>
      </w:r>
      <w:r w:rsidRPr="00BF3A3F">
        <w:rPr>
          <w:sz w:val="20"/>
        </w:rPr>
        <w:t xml:space="preserve"> </w:t>
      </w:r>
      <w:r w:rsidR="0055157A">
        <w:rPr>
          <w:sz w:val="20"/>
        </w:rPr>
        <w:t xml:space="preserve">Vol. </w:t>
      </w:r>
      <w:r w:rsidRPr="00BF3A3F">
        <w:rPr>
          <w:sz w:val="20"/>
        </w:rPr>
        <w:t xml:space="preserve">51, </w:t>
      </w:r>
      <w:r w:rsidR="0055157A">
        <w:rPr>
          <w:sz w:val="20"/>
        </w:rPr>
        <w:t xml:space="preserve">No. </w:t>
      </w:r>
      <w:r w:rsidRPr="00BF3A3F">
        <w:rPr>
          <w:sz w:val="20"/>
        </w:rPr>
        <w:t>1, pp. 187-199.</w:t>
      </w:r>
    </w:p>
    <w:p w:rsidR="007600EB" w:rsidRPr="00BF3A3F" w:rsidRDefault="007600EB" w:rsidP="00EC0E35">
      <w:pPr>
        <w:ind w:left="720" w:hanging="720"/>
        <w:rPr>
          <w:rFonts w:ascii="Segoe UI" w:hAnsi="Segoe UI" w:cs="Segoe UI"/>
          <w:sz w:val="20"/>
        </w:rPr>
      </w:pPr>
      <w:r w:rsidRPr="00BF3A3F">
        <w:rPr>
          <w:sz w:val="20"/>
        </w:rPr>
        <w:t xml:space="preserve">Franklin, C. (2007). Factors that influence elementary teachers use of computers. </w:t>
      </w:r>
      <w:r w:rsidRPr="00BF3A3F">
        <w:rPr>
          <w:i/>
          <w:iCs/>
          <w:sz w:val="20"/>
        </w:rPr>
        <w:t>Journal of Technology and Teacher Education,</w:t>
      </w:r>
      <w:r w:rsidRPr="00BF3A3F">
        <w:rPr>
          <w:sz w:val="20"/>
        </w:rPr>
        <w:t xml:space="preserve"> </w:t>
      </w:r>
      <w:r w:rsidR="0055157A">
        <w:rPr>
          <w:sz w:val="20"/>
        </w:rPr>
        <w:t xml:space="preserve">Vol. </w:t>
      </w:r>
      <w:r w:rsidRPr="00BF3A3F">
        <w:rPr>
          <w:sz w:val="20"/>
        </w:rPr>
        <w:t xml:space="preserve">15, </w:t>
      </w:r>
      <w:r w:rsidR="0055157A">
        <w:rPr>
          <w:sz w:val="20"/>
        </w:rPr>
        <w:t xml:space="preserve">No. </w:t>
      </w:r>
      <w:r w:rsidRPr="00BF3A3F">
        <w:rPr>
          <w:sz w:val="20"/>
        </w:rPr>
        <w:t>2, pp. 267–293. </w:t>
      </w:r>
      <w:r w:rsidRPr="00BF3A3F">
        <w:rPr>
          <w:i/>
          <w:iCs/>
          <w:sz w:val="20"/>
        </w:rPr>
        <w:t>Educational Research, 88</w:t>
      </w:r>
      <w:r w:rsidRPr="00BF3A3F">
        <w:rPr>
          <w:sz w:val="20"/>
        </w:rPr>
        <w:t>(4), 200</w:t>
      </w:r>
      <w:r w:rsidRPr="00BF3A3F">
        <w:rPr>
          <w:sz w:val="20"/>
        </w:rPr>
        <w:softHyphen/>
        <w:t>208.  </w:t>
      </w:r>
    </w:p>
    <w:p w:rsidR="007600EB" w:rsidRPr="00BF3A3F" w:rsidRDefault="007600EB" w:rsidP="00EC0E35">
      <w:pPr>
        <w:ind w:left="720" w:hanging="720"/>
        <w:rPr>
          <w:rFonts w:ascii="Segoe UI" w:hAnsi="Segoe UI" w:cs="Segoe UI"/>
          <w:sz w:val="20"/>
        </w:rPr>
      </w:pPr>
      <w:r w:rsidRPr="00BF3A3F">
        <w:rPr>
          <w:sz w:val="20"/>
        </w:rPr>
        <w:t xml:space="preserve">Giordano, V. (2007). A professional development model to promote internet integration into P-12 teachers' practice: A mixed method study. </w:t>
      </w:r>
      <w:r w:rsidRPr="00BF3A3F">
        <w:rPr>
          <w:i/>
          <w:iCs/>
          <w:sz w:val="20"/>
        </w:rPr>
        <w:t>Computers in the schools</w:t>
      </w:r>
      <w:r w:rsidRPr="00BF3A3F">
        <w:rPr>
          <w:sz w:val="20"/>
        </w:rPr>
        <w:t xml:space="preserve">, </w:t>
      </w:r>
      <w:r w:rsidR="0055157A">
        <w:rPr>
          <w:sz w:val="20"/>
        </w:rPr>
        <w:t xml:space="preserve">Vol. </w:t>
      </w:r>
      <w:r w:rsidRPr="00BF3A3F">
        <w:rPr>
          <w:sz w:val="20"/>
        </w:rPr>
        <w:t xml:space="preserve">24, </w:t>
      </w:r>
      <w:r w:rsidR="0055157A">
        <w:rPr>
          <w:sz w:val="20"/>
        </w:rPr>
        <w:t xml:space="preserve">No. </w:t>
      </w:r>
      <w:r w:rsidRPr="00BF3A3F">
        <w:rPr>
          <w:sz w:val="20"/>
        </w:rPr>
        <w:t>3/4, pp. 111-123</w:t>
      </w:r>
      <w:r w:rsidR="0055157A">
        <w:rPr>
          <w:sz w:val="20"/>
        </w:rPr>
        <w:t>.</w:t>
      </w:r>
    </w:p>
    <w:p w:rsidR="007600EB" w:rsidRPr="00BF3A3F" w:rsidRDefault="007600EB" w:rsidP="00EC0E35">
      <w:pPr>
        <w:ind w:left="720" w:hanging="720"/>
        <w:rPr>
          <w:rFonts w:ascii="Segoe UI" w:hAnsi="Segoe UI" w:cs="Segoe UI"/>
          <w:sz w:val="20"/>
        </w:rPr>
      </w:pPr>
      <w:r w:rsidRPr="00BF3A3F">
        <w:rPr>
          <w:sz w:val="20"/>
        </w:rPr>
        <w:t xml:space="preserve">Gorder, L. M. (2008). A study of teacher perceptions of instructional technology integration in the classroom. Delta Pi Epsilon Journal, </w:t>
      </w:r>
      <w:r w:rsidR="0055157A">
        <w:rPr>
          <w:sz w:val="20"/>
        </w:rPr>
        <w:t xml:space="preserve">Vol. </w:t>
      </w:r>
      <w:r w:rsidRPr="00BF3A3F">
        <w:rPr>
          <w:sz w:val="20"/>
        </w:rPr>
        <w:t xml:space="preserve">50, </w:t>
      </w:r>
      <w:r w:rsidR="0055157A">
        <w:rPr>
          <w:sz w:val="20"/>
        </w:rPr>
        <w:t xml:space="preserve">No. </w:t>
      </w:r>
      <w:r w:rsidRPr="00BF3A3F">
        <w:rPr>
          <w:sz w:val="20"/>
        </w:rPr>
        <w:t>2, pp. 63-76.</w:t>
      </w:r>
    </w:p>
    <w:p w:rsidR="007600EB" w:rsidRPr="00BF3A3F" w:rsidRDefault="007600EB" w:rsidP="00EC0E35">
      <w:pPr>
        <w:ind w:left="720" w:hanging="720"/>
        <w:rPr>
          <w:rFonts w:ascii="Segoe UI" w:hAnsi="Segoe UI" w:cs="Segoe UI"/>
          <w:sz w:val="20"/>
        </w:rPr>
      </w:pPr>
      <w:r w:rsidRPr="00BF3A3F">
        <w:rPr>
          <w:sz w:val="20"/>
        </w:rPr>
        <w:t xml:space="preserve">Groff, J., &amp; Mouza, C. (2008). A framework for addressing challenges to classroom technology use. </w:t>
      </w:r>
      <w:r w:rsidRPr="00BF3A3F">
        <w:rPr>
          <w:i/>
          <w:iCs/>
          <w:sz w:val="20"/>
        </w:rPr>
        <w:t>AACE Journal</w:t>
      </w:r>
      <w:r w:rsidRPr="00BF3A3F">
        <w:rPr>
          <w:sz w:val="20"/>
        </w:rPr>
        <w:t xml:space="preserve">, </w:t>
      </w:r>
      <w:r w:rsidR="0055157A">
        <w:rPr>
          <w:sz w:val="20"/>
        </w:rPr>
        <w:t xml:space="preserve">Vol. </w:t>
      </w:r>
      <w:r w:rsidRPr="00BF3A3F">
        <w:rPr>
          <w:sz w:val="20"/>
        </w:rPr>
        <w:t xml:space="preserve">16, </w:t>
      </w:r>
      <w:r w:rsidR="0055157A">
        <w:rPr>
          <w:sz w:val="20"/>
        </w:rPr>
        <w:t xml:space="preserve">No. </w:t>
      </w:r>
      <w:r w:rsidRPr="00BF3A3F">
        <w:rPr>
          <w:sz w:val="20"/>
        </w:rPr>
        <w:t>1,</w:t>
      </w:r>
      <w:r w:rsidR="0055157A">
        <w:rPr>
          <w:sz w:val="20"/>
        </w:rPr>
        <w:t xml:space="preserve"> </w:t>
      </w:r>
      <w:r w:rsidRPr="00BF3A3F">
        <w:rPr>
          <w:sz w:val="20"/>
        </w:rPr>
        <w:t>pp. 21-46.</w:t>
      </w:r>
    </w:p>
    <w:p w:rsidR="007600EB" w:rsidRPr="00BF3A3F" w:rsidRDefault="007600EB" w:rsidP="00EC0E35">
      <w:pPr>
        <w:ind w:left="720" w:hanging="720"/>
        <w:rPr>
          <w:rFonts w:ascii="Segoe UI" w:hAnsi="Segoe UI" w:cs="Segoe UI"/>
          <w:sz w:val="20"/>
        </w:rPr>
      </w:pPr>
      <w:r w:rsidRPr="00BF3A3F">
        <w:rPr>
          <w:sz w:val="20"/>
        </w:rPr>
        <w:lastRenderedPageBreak/>
        <w:t xml:space="preserve">Gulbahar, Y. (2007). Technology planning: A roadmap to successful technology integration in schools. </w:t>
      </w:r>
      <w:r w:rsidRPr="00BF3A3F">
        <w:rPr>
          <w:i/>
          <w:iCs/>
          <w:sz w:val="20"/>
        </w:rPr>
        <w:t>Computers &amp; Education</w:t>
      </w:r>
      <w:r w:rsidRPr="00BF3A3F">
        <w:rPr>
          <w:sz w:val="20"/>
        </w:rPr>
        <w:t xml:space="preserve">, </w:t>
      </w:r>
      <w:r w:rsidR="0055157A">
        <w:rPr>
          <w:sz w:val="20"/>
        </w:rPr>
        <w:t xml:space="preserve">Vol. </w:t>
      </w:r>
      <w:r w:rsidRPr="00BF3A3F">
        <w:rPr>
          <w:sz w:val="20"/>
        </w:rPr>
        <w:t xml:space="preserve">49, </w:t>
      </w:r>
      <w:r w:rsidR="0055157A">
        <w:rPr>
          <w:sz w:val="20"/>
        </w:rPr>
        <w:t xml:space="preserve">No. </w:t>
      </w:r>
      <w:r w:rsidRPr="00BF3A3F">
        <w:rPr>
          <w:sz w:val="20"/>
        </w:rPr>
        <w:t>4, pp. 943-956. </w:t>
      </w:r>
    </w:p>
    <w:p w:rsidR="007600EB" w:rsidRPr="00BF3A3F" w:rsidRDefault="007600EB" w:rsidP="00EC0E35">
      <w:pPr>
        <w:ind w:left="720" w:hanging="720"/>
        <w:rPr>
          <w:rFonts w:ascii="Segoe UI" w:hAnsi="Segoe UI" w:cs="Segoe UI"/>
          <w:sz w:val="20"/>
        </w:rPr>
      </w:pPr>
      <w:r w:rsidRPr="00BF3A3F">
        <w:rPr>
          <w:sz w:val="20"/>
        </w:rPr>
        <w:t xml:space="preserve">Hernandez-Ramos, P. (2005). If not here, where? Understanding teachers use of technology in Silicon </w:t>
      </w:r>
      <w:r>
        <w:rPr>
          <w:sz w:val="20"/>
        </w:rPr>
        <w:t>V</w:t>
      </w:r>
      <w:r w:rsidRPr="00BF3A3F">
        <w:rPr>
          <w:sz w:val="20"/>
        </w:rPr>
        <w:t xml:space="preserve">alley schools. </w:t>
      </w:r>
      <w:r w:rsidRPr="00BF3A3F">
        <w:rPr>
          <w:i/>
          <w:iCs/>
          <w:sz w:val="20"/>
        </w:rPr>
        <w:t>.Journal of Research on Technology in education,</w:t>
      </w:r>
      <w:r w:rsidRPr="00BF3A3F">
        <w:rPr>
          <w:sz w:val="20"/>
        </w:rPr>
        <w:t xml:space="preserve"> </w:t>
      </w:r>
      <w:r w:rsidR="0055157A">
        <w:rPr>
          <w:sz w:val="20"/>
        </w:rPr>
        <w:t xml:space="preserve">Vol. </w:t>
      </w:r>
      <w:r w:rsidRPr="00BF3A3F">
        <w:rPr>
          <w:sz w:val="20"/>
        </w:rPr>
        <w:t xml:space="preserve">38, </w:t>
      </w:r>
      <w:r w:rsidR="0055157A">
        <w:rPr>
          <w:sz w:val="20"/>
        </w:rPr>
        <w:t xml:space="preserve">No. </w:t>
      </w:r>
      <w:r w:rsidRPr="00BF3A3F">
        <w:rPr>
          <w:sz w:val="20"/>
        </w:rPr>
        <w:t>1, pp. 39-64.  </w:t>
      </w:r>
    </w:p>
    <w:p w:rsidR="007600EB" w:rsidRPr="00BF3A3F" w:rsidRDefault="007600EB" w:rsidP="00EC0E35">
      <w:pPr>
        <w:ind w:left="720" w:hanging="720"/>
        <w:rPr>
          <w:rFonts w:ascii="Segoe UI" w:hAnsi="Segoe UI" w:cs="Segoe UI"/>
          <w:sz w:val="20"/>
        </w:rPr>
      </w:pPr>
      <w:r w:rsidRPr="00BF3A3F">
        <w:rPr>
          <w:sz w:val="20"/>
        </w:rPr>
        <w:t xml:space="preserve">Hew, K. F., &amp; Brush, T. (2007). Integrating technology into K-12 teaching and learning: current knowledge gaps and recommendations for future research. </w:t>
      </w:r>
      <w:r w:rsidRPr="00BF3A3F">
        <w:rPr>
          <w:i/>
          <w:iCs/>
          <w:sz w:val="20"/>
        </w:rPr>
        <w:t>Educational Technology</w:t>
      </w:r>
      <w:r w:rsidRPr="00BF3A3F">
        <w:rPr>
          <w:sz w:val="20"/>
        </w:rPr>
        <w:t xml:space="preserve"> </w:t>
      </w:r>
      <w:r w:rsidRPr="00BF3A3F">
        <w:rPr>
          <w:i/>
          <w:iCs/>
          <w:sz w:val="20"/>
        </w:rPr>
        <w:t>Research and Development,</w:t>
      </w:r>
      <w:r w:rsidRPr="00BF3A3F">
        <w:rPr>
          <w:sz w:val="20"/>
        </w:rPr>
        <w:t xml:space="preserve"> </w:t>
      </w:r>
      <w:r w:rsidR="0055157A">
        <w:rPr>
          <w:sz w:val="20"/>
        </w:rPr>
        <w:t xml:space="preserve">Vol. </w:t>
      </w:r>
      <w:r w:rsidRPr="00BF3A3F">
        <w:rPr>
          <w:sz w:val="20"/>
        </w:rPr>
        <w:t>55, pp. 223-253.  </w:t>
      </w:r>
    </w:p>
    <w:p w:rsidR="007600EB" w:rsidRPr="00BF3A3F" w:rsidRDefault="007600EB" w:rsidP="00EC0E35">
      <w:pPr>
        <w:ind w:left="720" w:hanging="720"/>
        <w:rPr>
          <w:rFonts w:ascii="Segoe UI" w:hAnsi="Segoe UI" w:cs="Segoe UI"/>
          <w:sz w:val="20"/>
        </w:rPr>
      </w:pPr>
      <w:r w:rsidRPr="00BF3A3F">
        <w:rPr>
          <w:sz w:val="20"/>
        </w:rPr>
        <w:t xml:space="preserve">Jones, A. (2004). A Review of the Research Literature on Barriers to the Uptake of ICT by Teachers.  </w:t>
      </w:r>
      <w:r w:rsidRPr="00BF3A3F">
        <w:rPr>
          <w:i/>
          <w:iCs/>
          <w:sz w:val="20"/>
        </w:rPr>
        <w:t>British Educational Communications and Technology Agency</w:t>
      </w:r>
      <w:r w:rsidRPr="00BF3A3F">
        <w:rPr>
          <w:sz w:val="20"/>
        </w:rPr>
        <w:t xml:space="preserve">.  Retrieved May 20, 2010 from </w:t>
      </w:r>
      <w:r w:rsidRPr="00BF3A3F">
        <w:rPr>
          <w:color w:val="0000FF"/>
          <w:sz w:val="20"/>
          <w:u w:val="single"/>
        </w:rPr>
        <w:t>http://www.becta.org.uk</w:t>
      </w:r>
      <w:r w:rsidRPr="00BF3A3F">
        <w:rPr>
          <w:sz w:val="20"/>
        </w:rPr>
        <w:t>.  </w:t>
      </w:r>
    </w:p>
    <w:p w:rsidR="007600EB" w:rsidRPr="00BF3A3F" w:rsidRDefault="007600EB" w:rsidP="00EC0E35">
      <w:pPr>
        <w:ind w:left="720" w:hanging="720"/>
        <w:rPr>
          <w:rFonts w:ascii="Segoe UI" w:hAnsi="Segoe UI" w:cs="Segoe UI"/>
          <w:sz w:val="20"/>
        </w:rPr>
      </w:pPr>
      <w:r w:rsidRPr="00BF3A3F">
        <w:rPr>
          <w:sz w:val="20"/>
        </w:rPr>
        <w:t xml:space="preserve">Jones, C.A. (2001) Teach Support: Preparing teachers to use technology. </w:t>
      </w:r>
      <w:r w:rsidRPr="00BF3A3F">
        <w:rPr>
          <w:i/>
          <w:iCs/>
          <w:sz w:val="20"/>
        </w:rPr>
        <w:t>Principal Leadership</w:t>
      </w:r>
      <w:r w:rsidRPr="00BF3A3F">
        <w:rPr>
          <w:sz w:val="20"/>
        </w:rPr>
        <w:t xml:space="preserve">, </w:t>
      </w:r>
      <w:r w:rsidR="0055157A">
        <w:rPr>
          <w:sz w:val="20"/>
        </w:rPr>
        <w:t xml:space="preserve">Vol. </w:t>
      </w:r>
      <w:r w:rsidRPr="00BF3A3F">
        <w:rPr>
          <w:sz w:val="20"/>
        </w:rPr>
        <w:t xml:space="preserve">1, </w:t>
      </w:r>
      <w:r w:rsidR="0055157A">
        <w:rPr>
          <w:sz w:val="20"/>
        </w:rPr>
        <w:t xml:space="preserve">No. </w:t>
      </w:r>
      <w:r w:rsidRPr="00BF3A3F">
        <w:rPr>
          <w:sz w:val="20"/>
        </w:rPr>
        <w:t>9, pp. 35-39. </w:t>
      </w:r>
    </w:p>
    <w:p w:rsidR="007600EB" w:rsidRPr="00BF3A3F" w:rsidRDefault="007600EB" w:rsidP="00EC0E35">
      <w:pPr>
        <w:ind w:left="720" w:hanging="720"/>
        <w:rPr>
          <w:rFonts w:ascii="Segoe UI" w:hAnsi="Segoe UI" w:cs="Segoe UI"/>
          <w:sz w:val="20"/>
        </w:rPr>
      </w:pPr>
      <w:r w:rsidRPr="00BF3A3F">
        <w:rPr>
          <w:sz w:val="20"/>
        </w:rPr>
        <w:t xml:space="preserve">Lim, C. P., &amp; Chai, C. S. (2008). Teachers’ pedagogical beliefs and their planning and conduct of computer-mediated classroom lessons. </w:t>
      </w:r>
      <w:r w:rsidRPr="00BF3A3F">
        <w:rPr>
          <w:i/>
          <w:iCs/>
          <w:sz w:val="20"/>
        </w:rPr>
        <w:t>British Journal of Educational Technology,</w:t>
      </w:r>
      <w:r w:rsidRPr="00BF3A3F">
        <w:rPr>
          <w:sz w:val="20"/>
        </w:rPr>
        <w:t xml:space="preserve"> </w:t>
      </w:r>
      <w:r w:rsidR="0055157A">
        <w:rPr>
          <w:sz w:val="20"/>
        </w:rPr>
        <w:t xml:space="preserve">Vol. </w:t>
      </w:r>
      <w:r w:rsidRPr="00BF3A3F">
        <w:rPr>
          <w:sz w:val="20"/>
        </w:rPr>
        <w:t xml:space="preserve">39, </w:t>
      </w:r>
      <w:r w:rsidR="0055157A">
        <w:rPr>
          <w:sz w:val="20"/>
        </w:rPr>
        <w:t xml:space="preserve">No. </w:t>
      </w:r>
      <w:r w:rsidRPr="00BF3A3F">
        <w:rPr>
          <w:sz w:val="20"/>
        </w:rPr>
        <w:t>5, pp. 807–828.  </w:t>
      </w:r>
    </w:p>
    <w:p w:rsidR="007600EB" w:rsidRPr="00BF3A3F" w:rsidRDefault="007600EB" w:rsidP="00EC0E35">
      <w:pPr>
        <w:ind w:left="720" w:hanging="720"/>
        <w:rPr>
          <w:rFonts w:ascii="Segoe UI" w:hAnsi="Segoe UI" w:cs="Segoe UI"/>
          <w:sz w:val="20"/>
        </w:rPr>
      </w:pPr>
      <w:r w:rsidRPr="00BF3A3F">
        <w:rPr>
          <w:sz w:val="20"/>
        </w:rPr>
        <w:t xml:space="preserve">Neyland, E. (2011). Integrating online learning in NSW secondary schools: Three schools perspectives on ICT adoption. </w:t>
      </w:r>
      <w:r w:rsidRPr="00BF3A3F">
        <w:rPr>
          <w:i/>
          <w:iCs/>
          <w:sz w:val="20"/>
        </w:rPr>
        <w:t>Australia Journal of Educational Technology</w:t>
      </w:r>
      <w:r w:rsidRPr="00BF3A3F">
        <w:rPr>
          <w:sz w:val="20"/>
        </w:rPr>
        <w:t xml:space="preserve">, </w:t>
      </w:r>
      <w:r w:rsidR="0055157A">
        <w:rPr>
          <w:sz w:val="20"/>
        </w:rPr>
        <w:t xml:space="preserve">Vol. </w:t>
      </w:r>
      <w:r w:rsidRPr="00BF3A3F">
        <w:rPr>
          <w:sz w:val="20"/>
        </w:rPr>
        <w:t xml:space="preserve">27, </w:t>
      </w:r>
      <w:r w:rsidR="0055157A">
        <w:rPr>
          <w:sz w:val="20"/>
        </w:rPr>
        <w:t xml:space="preserve">No. </w:t>
      </w:r>
      <w:r w:rsidRPr="00BF3A3F">
        <w:rPr>
          <w:sz w:val="20"/>
        </w:rPr>
        <w:t>1, pp. 152-173  </w:t>
      </w:r>
    </w:p>
    <w:p w:rsidR="007600EB" w:rsidRPr="00BF3A3F" w:rsidRDefault="007600EB" w:rsidP="00EC0E35">
      <w:pPr>
        <w:ind w:left="720" w:hanging="720"/>
        <w:rPr>
          <w:rFonts w:ascii="Segoe UI" w:hAnsi="Segoe UI" w:cs="Segoe UI"/>
          <w:sz w:val="20"/>
        </w:rPr>
      </w:pPr>
      <w:r w:rsidRPr="00BF3A3F">
        <w:rPr>
          <w:sz w:val="20"/>
        </w:rPr>
        <w:t xml:space="preserve">Ng, W. (2008). Transformational leadership and the integration of information and communications technology into teaching. </w:t>
      </w:r>
      <w:r w:rsidRPr="00BF3A3F">
        <w:rPr>
          <w:i/>
          <w:iCs/>
          <w:sz w:val="20"/>
        </w:rPr>
        <w:t>The Asia-Pacific Researcher</w:t>
      </w:r>
      <w:r w:rsidRPr="00BF3A3F">
        <w:rPr>
          <w:sz w:val="20"/>
        </w:rPr>
        <w:t xml:space="preserve">, </w:t>
      </w:r>
      <w:r w:rsidR="0055157A">
        <w:rPr>
          <w:sz w:val="20"/>
        </w:rPr>
        <w:t xml:space="preserve">Vol. </w:t>
      </w:r>
      <w:r w:rsidRPr="00BF3A3F">
        <w:rPr>
          <w:sz w:val="20"/>
        </w:rPr>
        <w:t xml:space="preserve">17, </w:t>
      </w:r>
      <w:r w:rsidR="0055157A">
        <w:rPr>
          <w:sz w:val="20"/>
        </w:rPr>
        <w:t xml:space="preserve">No. </w:t>
      </w:r>
      <w:r w:rsidRPr="00BF3A3F">
        <w:rPr>
          <w:sz w:val="20"/>
        </w:rPr>
        <w:t>1, pp. 1-14.  </w:t>
      </w:r>
    </w:p>
    <w:p w:rsidR="007600EB" w:rsidRPr="00BF3A3F" w:rsidRDefault="007600EB" w:rsidP="00EC0E35">
      <w:pPr>
        <w:ind w:left="720" w:hanging="720"/>
        <w:rPr>
          <w:rFonts w:ascii="Segoe UI" w:hAnsi="Segoe UI" w:cs="Segoe UI"/>
          <w:sz w:val="20"/>
        </w:rPr>
      </w:pPr>
      <w:r w:rsidRPr="00BF3A3F">
        <w:rPr>
          <w:sz w:val="20"/>
        </w:rPr>
        <w:t xml:space="preserve">Niederhauser, D.S. &amp; Stoddart, T. (2001). Teachers' instructional perspectives and use of educational software. </w:t>
      </w:r>
      <w:r w:rsidRPr="00BF3A3F">
        <w:rPr>
          <w:i/>
          <w:iCs/>
          <w:sz w:val="20"/>
        </w:rPr>
        <w:t>Teaching and teacher eduaction</w:t>
      </w:r>
      <w:r w:rsidRPr="00BF3A3F">
        <w:rPr>
          <w:sz w:val="20"/>
        </w:rPr>
        <w:t xml:space="preserve">, </w:t>
      </w:r>
      <w:r w:rsidR="0055157A">
        <w:rPr>
          <w:sz w:val="20"/>
        </w:rPr>
        <w:t xml:space="preserve">Vol. </w:t>
      </w:r>
      <w:r w:rsidRPr="00BF3A3F">
        <w:rPr>
          <w:sz w:val="20"/>
        </w:rPr>
        <w:t>17, pp.15-31.    </w:t>
      </w:r>
    </w:p>
    <w:p w:rsidR="007600EB" w:rsidRPr="00BF3A3F" w:rsidRDefault="007600EB" w:rsidP="00EC0E35">
      <w:pPr>
        <w:ind w:left="720" w:hanging="720"/>
        <w:rPr>
          <w:rFonts w:ascii="Segoe UI" w:hAnsi="Segoe UI" w:cs="Segoe UI"/>
          <w:sz w:val="20"/>
        </w:rPr>
      </w:pPr>
      <w:r w:rsidRPr="00BF3A3F">
        <w:rPr>
          <w:sz w:val="20"/>
        </w:rPr>
        <w:t xml:space="preserve">Nut, J. (2010). Professional educators and the evolving role of ICT in schools: Perspective report.  Retrieved Nov 12, 2011 from </w:t>
      </w:r>
      <w:hyperlink r:id="rId50" w:history="1">
        <w:r w:rsidRPr="009557A7">
          <w:rPr>
            <w:rStyle w:val="Hyperlink"/>
            <w:sz w:val="20"/>
          </w:rPr>
          <w:t>http://www.ictliteracy.info/rf.pdf/ICTinSchools.pdf</w:t>
        </w:r>
      </w:hyperlink>
      <w:r w:rsidRPr="00BF3A3F">
        <w:rPr>
          <w:sz w:val="20"/>
        </w:rPr>
        <w:t>. </w:t>
      </w:r>
    </w:p>
    <w:p w:rsidR="007600EB" w:rsidRPr="00BF3A3F" w:rsidRDefault="007600EB" w:rsidP="00EC0E35">
      <w:pPr>
        <w:ind w:left="720" w:hanging="720"/>
        <w:rPr>
          <w:rFonts w:ascii="Segoe UI" w:hAnsi="Segoe UI" w:cs="Segoe UI"/>
          <w:sz w:val="20"/>
        </w:rPr>
      </w:pPr>
      <w:r w:rsidRPr="00BF3A3F">
        <w:rPr>
          <w:sz w:val="20"/>
        </w:rPr>
        <w:t xml:space="preserve">Peralta, H., Costa, F.A. (2007). Teachers’ competence and confidence regarding the use of ICT.  </w:t>
      </w:r>
      <w:r w:rsidRPr="00BF3A3F">
        <w:rPr>
          <w:i/>
          <w:iCs/>
          <w:sz w:val="20"/>
        </w:rPr>
        <w:t>Educational Sciences Journal</w:t>
      </w:r>
      <w:r w:rsidRPr="00BF3A3F">
        <w:rPr>
          <w:sz w:val="20"/>
        </w:rPr>
        <w:t xml:space="preserve">, </w:t>
      </w:r>
      <w:r w:rsidR="0055157A">
        <w:rPr>
          <w:sz w:val="20"/>
        </w:rPr>
        <w:t xml:space="preserve">Vol. </w:t>
      </w:r>
      <w:r w:rsidRPr="00BF3A3F">
        <w:rPr>
          <w:sz w:val="20"/>
        </w:rPr>
        <w:t>3, pp. 75-84. </w:t>
      </w:r>
    </w:p>
    <w:p w:rsidR="007600EB" w:rsidRPr="00BF3A3F" w:rsidRDefault="007600EB" w:rsidP="00EC0E35">
      <w:pPr>
        <w:ind w:left="720" w:hanging="720"/>
        <w:rPr>
          <w:rFonts w:ascii="Segoe UI" w:hAnsi="Segoe UI" w:cs="Segoe UI"/>
          <w:sz w:val="20"/>
        </w:rPr>
      </w:pPr>
      <w:r w:rsidRPr="00BF3A3F">
        <w:rPr>
          <w:sz w:val="20"/>
        </w:rPr>
        <w:t xml:space="preserve">Plomp, T., Anderson, R. E., Law, N., &amp; Quale, A. (Eds.). (2009). </w:t>
      </w:r>
      <w:r w:rsidRPr="00BF3A3F">
        <w:rPr>
          <w:i/>
          <w:iCs/>
          <w:sz w:val="20"/>
        </w:rPr>
        <w:t>Cross-national information and communication technology: policies and practices in education</w:t>
      </w:r>
      <w:r w:rsidRPr="00BF3A3F">
        <w:rPr>
          <w:sz w:val="20"/>
        </w:rPr>
        <w:t>. Charlotte, N.C.: Information Age Publishing.</w:t>
      </w:r>
      <w:r w:rsidRPr="00BF3A3F">
        <w:rPr>
          <w:i/>
          <w:iCs/>
          <w:sz w:val="20"/>
        </w:rPr>
        <w:t> </w:t>
      </w:r>
      <w:r w:rsidRPr="00BF3A3F">
        <w:rPr>
          <w:sz w:val="20"/>
        </w:rPr>
        <w:t> </w:t>
      </w:r>
    </w:p>
    <w:p w:rsidR="007600EB" w:rsidRPr="00BF3A3F" w:rsidRDefault="007600EB" w:rsidP="00EC0E35">
      <w:pPr>
        <w:ind w:left="720" w:hanging="720"/>
        <w:rPr>
          <w:rFonts w:ascii="Segoe UI" w:hAnsi="Segoe UI" w:cs="Segoe UI"/>
          <w:sz w:val="20"/>
        </w:rPr>
      </w:pPr>
      <w:r w:rsidRPr="00BF3A3F">
        <w:rPr>
          <w:sz w:val="20"/>
        </w:rPr>
        <w:t xml:space="preserve">Russell, M., O'Dwyer, L. M., Bebell, D., &amp; Tao, W. (2007). How teachers' uses of technology vary by tenure and longevity. </w:t>
      </w:r>
      <w:r w:rsidRPr="00BF3A3F">
        <w:rPr>
          <w:i/>
          <w:iCs/>
          <w:sz w:val="20"/>
        </w:rPr>
        <w:t>Journal of Educational Computing Research,</w:t>
      </w:r>
      <w:r w:rsidRPr="00BF3A3F">
        <w:rPr>
          <w:sz w:val="20"/>
        </w:rPr>
        <w:t xml:space="preserve"> </w:t>
      </w:r>
      <w:r w:rsidR="0055157A">
        <w:rPr>
          <w:sz w:val="20"/>
        </w:rPr>
        <w:t xml:space="preserve">Vol. </w:t>
      </w:r>
      <w:r w:rsidRPr="00BF3A3F">
        <w:rPr>
          <w:sz w:val="20"/>
        </w:rPr>
        <w:t xml:space="preserve">37, </w:t>
      </w:r>
      <w:r w:rsidR="0055157A">
        <w:rPr>
          <w:sz w:val="20"/>
        </w:rPr>
        <w:t xml:space="preserve">No. </w:t>
      </w:r>
      <w:r w:rsidRPr="00BF3A3F">
        <w:rPr>
          <w:sz w:val="20"/>
        </w:rPr>
        <w:t>4, pp.393-417.  </w:t>
      </w:r>
    </w:p>
    <w:p w:rsidR="007600EB" w:rsidRPr="00BF3A3F" w:rsidRDefault="007600EB" w:rsidP="00EC0E35">
      <w:pPr>
        <w:ind w:left="720" w:hanging="720"/>
        <w:rPr>
          <w:rFonts w:ascii="Segoe UI" w:hAnsi="Segoe UI" w:cs="Segoe UI"/>
          <w:sz w:val="20"/>
        </w:rPr>
      </w:pPr>
      <w:r w:rsidRPr="00BF3A3F">
        <w:rPr>
          <w:sz w:val="20"/>
        </w:rPr>
        <w:t>Russell, M., Bebell, D., O’Dwyer, L. and O’Connor, K. (2003). Examing teacher technology use: Implications for preservice and inservice teacher preparation.</w:t>
      </w:r>
      <w:r w:rsidRPr="00BF3A3F">
        <w:rPr>
          <w:i/>
          <w:iCs/>
          <w:sz w:val="20"/>
        </w:rPr>
        <w:t xml:space="preserve"> Journal of Teacher</w:t>
      </w:r>
      <w:r w:rsidRPr="00BF3A3F">
        <w:rPr>
          <w:sz w:val="20"/>
        </w:rPr>
        <w:t> </w:t>
      </w:r>
      <w:r w:rsidRPr="00BF3A3F">
        <w:rPr>
          <w:i/>
          <w:iCs/>
          <w:sz w:val="20"/>
        </w:rPr>
        <w:t xml:space="preserve">Education, </w:t>
      </w:r>
      <w:r w:rsidR="0055157A">
        <w:rPr>
          <w:sz w:val="20"/>
        </w:rPr>
        <w:t xml:space="preserve">Vol. </w:t>
      </w:r>
      <w:r w:rsidRPr="00BF3A3F">
        <w:rPr>
          <w:sz w:val="20"/>
        </w:rPr>
        <w:t xml:space="preserve">54, </w:t>
      </w:r>
      <w:r w:rsidR="0055157A">
        <w:rPr>
          <w:sz w:val="20"/>
        </w:rPr>
        <w:t xml:space="preserve">No. </w:t>
      </w:r>
      <w:r w:rsidRPr="00BF3A3F">
        <w:rPr>
          <w:sz w:val="20"/>
        </w:rPr>
        <w:t>4, pp. 297-310.. </w:t>
      </w:r>
    </w:p>
    <w:p w:rsidR="007600EB" w:rsidRPr="00BF3A3F" w:rsidRDefault="007600EB" w:rsidP="00EC0E35">
      <w:pPr>
        <w:ind w:left="720" w:hanging="720"/>
        <w:rPr>
          <w:rFonts w:ascii="Segoe UI" w:hAnsi="Segoe UI" w:cs="Segoe UI"/>
          <w:sz w:val="20"/>
        </w:rPr>
      </w:pPr>
      <w:r w:rsidRPr="00BF3A3F">
        <w:rPr>
          <w:sz w:val="20"/>
        </w:rPr>
        <w:t>Teo, T.(2008). Pre-service teachers’ attitudes towards computer use: A</w:t>
      </w:r>
      <w:r>
        <w:rPr>
          <w:sz w:val="20"/>
        </w:rPr>
        <w:t xml:space="preserve"> </w:t>
      </w:r>
      <w:r w:rsidRPr="00BF3A3F">
        <w:rPr>
          <w:sz w:val="20"/>
        </w:rPr>
        <w:t>Singapore survey.  </w:t>
      </w:r>
      <w:r w:rsidRPr="00BF3A3F">
        <w:rPr>
          <w:i/>
          <w:iCs/>
          <w:sz w:val="20"/>
        </w:rPr>
        <w:t>Australasian Journal of Educational Technology</w:t>
      </w:r>
      <w:r w:rsidRPr="00BF3A3F">
        <w:rPr>
          <w:sz w:val="20"/>
        </w:rPr>
        <w:t>,</w:t>
      </w:r>
      <w:r>
        <w:rPr>
          <w:sz w:val="20"/>
        </w:rPr>
        <w:t xml:space="preserve"> </w:t>
      </w:r>
      <w:r w:rsidR="0055157A">
        <w:rPr>
          <w:sz w:val="20"/>
        </w:rPr>
        <w:t xml:space="preserve">Vol. </w:t>
      </w:r>
      <w:r w:rsidRPr="00BF3A3F">
        <w:rPr>
          <w:sz w:val="20"/>
        </w:rPr>
        <w:t xml:space="preserve">24, </w:t>
      </w:r>
      <w:r w:rsidR="0055157A">
        <w:rPr>
          <w:sz w:val="20"/>
        </w:rPr>
        <w:t xml:space="preserve">No. </w:t>
      </w:r>
      <w:r w:rsidRPr="00BF3A3F">
        <w:rPr>
          <w:sz w:val="20"/>
        </w:rPr>
        <w:t>4, pp. 413-424. </w:t>
      </w:r>
    </w:p>
    <w:p w:rsidR="007600EB" w:rsidRPr="00BF3A3F" w:rsidRDefault="007600EB" w:rsidP="00EC0E35">
      <w:pPr>
        <w:ind w:left="720" w:hanging="720"/>
        <w:rPr>
          <w:rFonts w:ascii="Segoe UI" w:hAnsi="Segoe UI" w:cs="Segoe UI"/>
          <w:sz w:val="20"/>
        </w:rPr>
      </w:pPr>
      <w:r w:rsidRPr="00BF3A3F">
        <w:rPr>
          <w:sz w:val="20"/>
        </w:rPr>
        <w:t>Tondeur, J., Valcke, M., &amp; van Braak, J. (2008). A multidimensional approach to determinants of computer use in primary education: Teacher and school characteristics. J</w:t>
      </w:r>
      <w:r w:rsidRPr="00BF3A3F">
        <w:rPr>
          <w:i/>
          <w:iCs/>
          <w:sz w:val="20"/>
        </w:rPr>
        <w:t>ournal of</w:t>
      </w:r>
      <w:r>
        <w:rPr>
          <w:i/>
          <w:iCs/>
          <w:sz w:val="20"/>
        </w:rPr>
        <w:t xml:space="preserve"> </w:t>
      </w:r>
      <w:r w:rsidRPr="00BF3A3F">
        <w:rPr>
          <w:i/>
          <w:iCs/>
          <w:sz w:val="20"/>
        </w:rPr>
        <w:t>Computer Assisted Learning</w:t>
      </w:r>
      <w:r w:rsidRPr="00BF3A3F">
        <w:rPr>
          <w:sz w:val="20"/>
        </w:rPr>
        <w:t xml:space="preserve">, </w:t>
      </w:r>
      <w:r w:rsidR="0055157A">
        <w:rPr>
          <w:sz w:val="20"/>
        </w:rPr>
        <w:t xml:space="preserve">Vol. </w:t>
      </w:r>
      <w:r w:rsidRPr="00BF3A3F">
        <w:rPr>
          <w:sz w:val="20"/>
        </w:rPr>
        <w:t>24, pp. 494–506.</w:t>
      </w:r>
    </w:p>
    <w:p w:rsidR="007600EB" w:rsidRPr="00BF3A3F" w:rsidRDefault="007600EB" w:rsidP="00EC0E35">
      <w:pPr>
        <w:ind w:left="720" w:hanging="720"/>
        <w:rPr>
          <w:rFonts w:ascii="Segoe UI" w:hAnsi="Segoe UI" w:cs="Segoe UI"/>
          <w:sz w:val="20"/>
        </w:rPr>
      </w:pPr>
      <w:r w:rsidRPr="00BF3A3F">
        <w:rPr>
          <w:sz w:val="20"/>
        </w:rPr>
        <w:t xml:space="preserve">U.S. Department of Education. National Center for Education Statistics. (2000). Teachers’ tools for the 21st Century: </w:t>
      </w:r>
      <w:r w:rsidRPr="00BF3A3F">
        <w:rPr>
          <w:i/>
          <w:iCs/>
          <w:sz w:val="20"/>
        </w:rPr>
        <w:t>A Report on teachers’ use of technology</w:t>
      </w:r>
      <w:r w:rsidRPr="00BF3A3F">
        <w:rPr>
          <w:sz w:val="20"/>
        </w:rPr>
        <w:t>.</w:t>
      </w:r>
    </w:p>
    <w:p w:rsidR="007600EB" w:rsidRPr="00BF3A3F" w:rsidRDefault="007600EB" w:rsidP="00EC0E35">
      <w:pPr>
        <w:ind w:left="720" w:hanging="720"/>
        <w:rPr>
          <w:rFonts w:ascii="Segoe UI" w:hAnsi="Segoe UI" w:cs="Segoe UI"/>
          <w:sz w:val="20"/>
        </w:rPr>
      </w:pPr>
      <w:r w:rsidRPr="00BF3A3F">
        <w:rPr>
          <w:sz w:val="20"/>
        </w:rPr>
        <w:t>Verdugo, D. R. &amp; Belmonte, I. A. (2007). Using digital stories to improve listening compression with Spanish young learners of English.</w:t>
      </w:r>
      <w:r w:rsidRPr="00BF3A3F">
        <w:rPr>
          <w:i/>
          <w:iCs/>
          <w:sz w:val="20"/>
        </w:rPr>
        <w:t> Language Learning &amp; </w:t>
      </w:r>
      <w:r w:rsidRPr="00BF3A3F">
        <w:rPr>
          <w:sz w:val="20"/>
        </w:rPr>
        <w:t xml:space="preserve"> </w:t>
      </w:r>
      <w:r w:rsidRPr="00BF3A3F">
        <w:rPr>
          <w:i/>
          <w:iCs/>
          <w:sz w:val="20"/>
        </w:rPr>
        <w:t>Technology</w:t>
      </w:r>
      <w:r w:rsidRPr="00BF3A3F">
        <w:rPr>
          <w:sz w:val="20"/>
        </w:rPr>
        <w:t>, 11(1), 87</w:t>
      </w:r>
      <w:r w:rsidRPr="00BF3A3F">
        <w:rPr>
          <w:sz w:val="20"/>
        </w:rPr>
        <w:softHyphen/>
        <w:t>101. </w:t>
      </w:r>
      <w:r>
        <w:rPr>
          <w:sz w:val="20"/>
        </w:rPr>
        <w:t xml:space="preserve"> </w:t>
      </w:r>
      <w:r w:rsidRPr="00BF3A3F">
        <w:rPr>
          <w:sz w:val="20"/>
        </w:rPr>
        <w:t xml:space="preserve">Retrieved January 1, 2007 from </w:t>
      </w:r>
      <w:hyperlink r:id="rId51" w:history="1">
        <w:r w:rsidRPr="009557A7">
          <w:rPr>
            <w:rStyle w:val="Hyperlink"/>
            <w:sz w:val="20"/>
          </w:rPr>
          <w:t>http://llt.msu.edu/vol1num1/verdugo/default.html</w:t>
        </w:r>
      </w:hyperlink>
      <w:r w:rsidRPr="00BF3A3F">
        <w:rPr>
          <w:sz w:val="20"/>
        </w:rPr>
        <w:t> </w:t>
      </w:r>
    </w:p>
    <w:p w:rsidR="007600EB" w:rsidRPr="00BF3A3F" w:rsidRDefault="007600EB" w:rsidP="00EC0E35">
      <w:pPr>
        <w:ind w:left="720" w:hanging="720"/>
        <w:rPr>
          <w:rFonts w:ascii="Segoe UI" w:hAnsi="Segoe UI" w:cs="Segoe UI"/>
          <w:sz w:val="20"/>
        </w:rPr>
      </w:pPr>
      <w:r w:rsidRPr="00BF3A3F">
        <w:rPr>
          <w:sz w:val="20"/>
        </w:rPr>
        <w:t xml:space="preserve">Wong, E.M.L. &amp; Li, S.C. (2008). Framing ICT implementation in a context of educational change: a multilevel analysis. </w:t>
      </w:r>
      <w:r w:rsidRPr="00BF3A3F">
        <w:rPr>
          <w:i/>
          <w:iCs/>
          <w:sz w:val="20"/>
        </w:rPr>
        <w:t>School effectiveness and school improvement</w:t>
      </w:r>
      <w:r w:rsidRPr="00BF3A3F">
        <w:rPr>
          <w:sz w:val="20"/>
        </w:rPr>
        <w:t>, 19(1), 99-120.   </w:t>
      </w:r>
    </w:p>
    <w:p w:rsidR="007600EB" w:rsidRPr="00BF3A3F" w:rsidRDefault="007600EB" w:rsidP="00EC0E35">
      <w:pPr>
        <w:ind w:left="720" w:hanging="720"/>
        <w:rPr>
          <w:rFonts w:ascii="Segoe UI" w:hAnsi="Segoe UI" w:cs="Segoe UI"/>
          <w:sz w:val="20"/>
        </w:rPr>
      </w:pPr>
      <w:r w:rsidRPr="00BF3A3F">
        <w:rPr>
          <w:sz w:val="20"/>
        </w:rPr>
        <w:lastRenderedPageBreak/>
        <w:t xml:space="preserve">Yi, M. Y., Jackson, J. D., Park, J. S., &amp; Probst, J. C. (2006). Understanding information technology acceptance by individual professionals: Toward an integrative view. </w:t>
      </w:r>
      <w:r w:rsidRPr="00BF3A3F">
        <w:rPr>
          <w:i/>
          <w:iCs/>
          <w:sz w:val="20"/>
        </w:rPr>
        <w:t>Information &amp; Management</w:t>
      </w:r>
      <w:r w:rsidRPr="00BF3A3F">
        <w:rPr>
          <w:sz w:val="20"/>
        </w:rPr>
        <w:t xml:space="preserve">, </w:t>
      </w:r>
      <w:r w:rsidR="0055157A">
        <w:rPr>
          <w:sz w:val="20"/>
        </w:rPr>
        <w:t xml:space="preserve">Vol. </w:t>
      </w:r>
      <w:r w:rsidRPr="00BF3A3F">
        <w:rPr>
          <w:sz w:val="20"/>
        </w:rPr>
        <w:t>43, pp. 350-363.  </w:t>
      </w:r>
    </w:p>
    <w:p w:rsidR="007600EB" w:rsidRPr="00BF3A3F" w:rsidRDefault="007600EB" w:rsidP="00EC0E35">
      <w:pPr>
        <w:ind w:left="720" w:hanging="720"/>
        <w:rPr>
          <w:rFonts w:ascii="Segoe UI" w:hAnsi="Segoe UI" w:cs="Segoe UI"/>
          <w:sz w:val="20"/>
        </w:rPr>
      </w:pPr>
      <w:r w:rsidRPr="00BF3A3F">
        <w:rPr>
          <w:sz w:val="20"/>
        </w:rPr>
        <w:t xml:space="preserve">Yilmaz, N.P. (2011). Evaluation of the Technology Integration Process in the Turkish Education System. </w:t>
      </w:r>
      <w:r w:rsidRPr="00BF3A3F">
        <w:rPr>
          <w:i/>
          <w:iCs/>
          <w:sz w:val="20"/>
        </w:rPr>
        <w:t>Contemporary Educational Technology</w:t>
      </w:r>
      <w:r w:rsidRPr="00BF3A3F">
        <w:rPr>
          <w:sz w:val="20"/>
        </w:rPr>
        <w:t xml:space="preserve">, </w:t>
      </w:r>
      <w:r w:rsidR="0055157A">
        <w:rPr>
          <w:sz w:val="20"/>
        </w:rPr>
        <w:t xml:space="preserve">Vol. </w:t>
      </w:r>
      <w:r w:rsidRPr="00BF3A3F">
        <w:rPr>
          <w:sz w:val="20"/>
        </w:rPr>
        <w:t xml:space="preserve">2, </w:t>
      </w:r>
      <w:r w:rsidR="0055157A">
        <w:rPr>
          <w:sz w:val="20"/>
        </w:rPr>
        <w:t xml:space="preserve">No. </w:t>
      </w:r>
      <w:r w:rsidRPr="00BF3A3F">
        <w:rPr>
          <w:sz w:val="20"/>
        </w:rPr>
        <w:t>1, pp. 37-54. </w:t>
      </w:r>
    </w:p>
    <w:p w:rsidR="007600EB" w:rsidRPr="00FF21E3" w:rsidRDefault="007600EB" w:rsidP="00EC0E35">
      <w:pPr>
        <w:ind w:left="720" w:hanging="720"/>
        <w:rPr>
          <w:rFonts w:ascii="Segoe UI" w:hAnsi="Segoe UI" w:cs="Segoe UI"/>
          <w:sz w:val="12"/>
          <w:szCs w:val="12"/>
        </w:rPr>
      </w:pPr>
      <w:r w:rsidRPr="00BF3A3F">
        <w:rPr>
          <w:rFonts w:ascii="Calibri" w:hAnsi="Calibri" w:cs="Segoe UI"/>
          <w:sz w:val="20"/>
        </w:rPr>
        <w:t> </w:t>
      </w:r>
    </w:p>
    <w:p w:rsidR="007600EB" w:rsidRPr="00FF21E3" w:rsidRDefault="007600EB" w:rsidP="00EC0E35">
      <w:pPr>
        <w:pStyle w:val="Heading7"/>
        <w:rPr>
          <w:rFonts w:ascii="Segoe UI" w:hAnsi="Segoe UI" w:cs="Segoe UI"/>
          <w:sz w:val="12"/>
          <w:szCs w:val="12"/>
        </w:rPr>
      </w:pPr>
      <w:r w:rsidRPr="00FF21E3">
        <w:t xml:space="preserve">About the </w:t>
      </w:r>
      <w:r w:rsidR="00EC0E35">
        <w:t>a</w:t>
      </w:r>
      <w:r w:rsidRPr="00FF21E3">
        <w:t>uthor </w:t>
      </w:r>
    </w:p>
    <w:p w:rsidR="007600EB" w:rsidRPr="00FF21E3" w:rsidRDefault="007600EB" w:rsidP="001541F7">
      <w:pPr>
        <w:rPr>
          <w:rFonts w:ascii="Segoe UI" w:hAnsi="Segoe UI" w:cs="Segoe UI"/>
          <w:sz w:val="12"/>
          <w:szCs w:val="12"/>
        </w:rPr>
      </w:pPr>
      <w:r w:rsidRPr="00EC0E35">
        <w:rPr>
          <w:rFonts w:ascii="Arial" w:hAnsi="Arial" w:cs="Arial"/>
          <w:b/>
          <w:bCs/>
          <w:sz w:val="24"/>
          <w:szCs w:val="24"/>
        </w:rPr>
        <w:t>Hamzeh Moradi</w:t>
      </w:r>
      <w:r w:rsidRPr="00FF21E3">
        <w:t xml:space="preserve"> is a Ph. D research scholar in linguistics. He has several years of experience in teaching English as Foreign/Second language and Linguistics.  He has demonstrated commitment in research, mainly in the area of Linguistics, Sociolinguistics, Applied Linguistics, Bilingualism, Second Language Acquisition, English Language Teaching and Learning and published several manuscripts in international peer-reviewed journals. </w:t>
      </w:r>
    </w:p>
    <w:p w:rsidR="007600EB" w:rsidRPr="00BF3A3F" w:rsidRDefault="00E635E1" w:rsidP="001541F7">
      <w:pPr>
        <w:rPr>
          <w:rFonts w:ascii="Segoe UI" w:hAnsi="Segoe UI" w:cs="Segoe UI"/>
          <w:szCs w:val="22"/>
        </w:rPr>
      </w:pPr>
      <w:hyperlink r:id="rId52" w:history="1">
        <w:r w:rsidR="007600EB" w:rsidRPr="00BF3A3F">
          <w:rPr>
            <w:bCs/>
            <w:color w:val="0000FF"/>
            <w:szCs w:val="22"/>
            <w:u w:val="single"/>
          </w:rPr>
          <w:t>hamzeh.m701@yahoo.com</w:t>
        </w:r>
      </w:hyperlink>
      <w:r w:rsidR="007600EB" w:rsidRPr="00BF3A3F">
        <w:rPr>
          <w:rFonts w:ascii="Calibri" w:hAnsi="Calibri" w:cs="Segoe UI"/>
          <w:szCs w:val="22"/>
        </w:rPr>
        <w:t> </w:t>
      </w: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911C00" w:rsidRDefault="00911C00" w:rsidP="00EC0E35">
      <w:pPr>
        <w:pStyle w:val="Note"/>
      </w:pPr>
    </w:p>
    <w:p w:rsidR="00D04A04" w:rsidRDefault="00D04A04" w:rsidP="00EC0E35">
      <w:pPr>
        <w:pStyle w:val="Note"/>
      </w:pPr>
    </w:p>
    <w:p w:rsidR="00D04A04" w:rsidRDefault="00D04A04" w:rsidP="00EC0E35">
      <w:pPr>
        <w:pStyle w:val="Note"/>
      </w:pPr>
    </w:p>
    <w:p w:rsidR="0055157A" w:rsidRDefault="0055157A" w:rsidP="00EC0E35">
      <w:pPr>
        <w:pStyle w:val="Note"/>
      </w:pPr>
    </w:p>
    <w:p w:rsidR="0055157A" w:rsidRDefault="0055157A" w:rsidP="00EC0E35">
      <w:pPr>
        <w:pStyle w:val="Note"/>
      </w:pPr>
    </w:p>
    <w:p w:rsidR="0055157A" w:rsidRDefault="0055157A" w:rsidP="00EC0E35">
      <w:pPr>
        <w:pStyle w:val="Note"/>
      </w:pPr>
    </w:p>
    <w:p w:rsidR="0055157A" w:rsidRDefault="0055157A" w:rsidP="00EC0E35">
      <w:pPr>
        <w:pStyle w:val="Note"/>
      </w:pPr>
    </w:p>
    <w:p w:rsidR="0055157A" w:rsidRDefault="0055157A" w:rsidP="00EC0E35">
      <w:pPr>
        <w:pStyle w:val="Note"/>
      </w:pPr>
    </w:p>
    <w:p w:rsidR="0055157A" w:rsidRDefault="0055157A" w:rsidP="00EC0E35">
      <w:pPr>
        <w:pStyle w:val="Note"/>
      </w:pPr>
    </w:p>
    <w:p w:rsidR="0055157A" w:rsidRDefault="0055157A" w:rsidP="00EC0E35">
      <w:pPr>
        <w:pStyle w:val="Note"/>
      </w:pPr>
    </w:p>
    <w:p w:rsidR="00D04A04" w:rsidRDefault="00D04A04" w:rsidP="00EC0E35">
      <w:pPr>
        <w:pStyle w:val="Note"/>
      </w:pPr>
    </w:p>
    <w:p w:rsidR="00427B99" w:rsidRPr="00174980" w:rsidRDefault="00E635E1" w:rsidP="00427B99">
      <w:pPr>
        <w:pStyle w:val="Note"/>
        <w:rPr>
          <w:sz w:val="20"/>
          <w:szCs w:val="20"/>
        </w:rPr>
      </w:pPr>
      <w:hyperlink w:anchor="TOC" w:history="1">
        <w:r w:rsidR="00911C00" w:rsidRPr="00A85F92">
          <w:rPr>
            <w:rStyle w:val="Hyperlink"/>
            <w:sz w:val="16"/>
            <w:szCs w:val="16"/>
          </w:rPr>
          <w:t>Return to Table of Contents</w:t>
        </w:r>
      </w:hyperlink>
    </w:p>
    <w:sectPr w:rsidR="00427B99" w:rsidRPr="00174980" w:rsidSect="003E5C24">
      <w:headerReference w:type="even" r:id="rId53"/>
      <w:headerReference w:type="default" r:id="rId54"/>
      <w:pgSz w:w="12240" w:h="15840" w:code="1"/>
      <w:pgMar w:top="1440" w:right="1800" w:bottom="1440" w:left="1800" w:header="720" w:footer="720" w:gutter="0"/>
      <w:pgNumType w:start="1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AB" w:rsidRDefault="00C530AB" w:rsidP="00CD285E">
      <w:pPr>
        <w:spacing w:after="0"/>
      </w:pPr>
      <w:r>
        <w:separator/>
      </w:r>
    </w:p>
  </w:endnote>
  <w:endnote w:type="continuationSeparator" w:id="0">
    <w:p w:rsidR="00C530AB" w:rsidRDefault="00C530AB"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Default="00E635E1" w:rsidP="00DB6BE5">
    <w:pPr>
      <w:framePr w:wrap="around" w:vAnchor="text" w:hAnchor="margin" w:xAlign="center" w:y="1"/>
    </w:pPr>
    <w:r>
      <w:fldChar w:fldCharType="begin"/>
    </w:r>
    <w:r>
      <w:instrText xml:space="preserve">PAGE  </w:instrText>
    </w:r>
    <w:r>
      <w:fldChar w:fldCharType="end"/>
    </w:r>
  </w:p>
  <w:p w:rsidR="00E635E1" w:rsidRDefault="00E63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Pr="005239EB" w:rsidRDefault="00E635E1"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FB2F59">
      <w:rPr>
        <w:rStyle w:val="Heading5Char"/>
        <w:noProof/>
        <w:sz w:val="16"/>
        <w:szCs w:val="16"/>
      </w:rPr>
      <w:t>iii</w:t>
    </w:r>
    <w:r w:rsidRPr="005239EB">
      <w:rPr>
        <w:rStyle w:val="Heading5Char"/>
        <w:sz w:val="16"/>
        <w:szCs w:val="16"/>
      </w:rPr>
      <w:fldChar w:fldCharType="end"/>
    </w:r>
  </w:p>
  <w:p w:rsidR="00E635E1" w:rsidRPr="008479C9" w:rsidRDefault="00E635E1" w:rsidP="00DB6BE5">
    <w:pPr>
      <w:rPr>
        <w:rFonts w:ascii="Arial" w:hAnsi="Arial" w:cs="Arial"/>
        <w:sz w:val="16"/>
        <w:szCs w:val="16"/>
      </w:rPr>
    </w:pPr>
    <w:r>
      <w:rPr>
        <w:rFonts w:ascii="Arial" w:hAnsi="Arial" w:cs="Arial"/>
        <w:sz w:val="16"/>
        <w:szCs w:val="16"/>
      </w:rPr>
      <w:t>September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Vol. 11</w:t>
    </w:r>
    <w:r w:rsidRPr="008479C9">
      <w:rPr>
        <w:rFonts w:ascii="Arial" w:hAnsi="Arial" w:cs="Arial"/>
        <w:sz w:val="16"/>
        <w:szCs w:val="16"/>
      </w:rPr>
      <w:t xml:space="preserve">. </w:t>
    </w:r>
    <w:r>
      <w:rPr>
        <w:rFonts w:ascii="Arial" w:hAnsi="Arial" w:cs="Arial"/>
        <w:sz w:val="16"/>
        <w:szCs w:val="16"/>
      </w:rPr>
      <w:t>No. 9</w:t>
    </w:r>
    <w:r w:rsidRPr="008479C9">
      <w:rPr>
        <w:rFonts w:ascii="Arial" w:hAnsi="Arial" w:cs="Arial"/>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Pr="008C4EBF" w:rsidRDefault="00E635E1" w:rsidP="00911C00">
    <w:pPr>
      <w:jc w:val="center"/>
    </w:pPr>
    <w:r>
      <w:rPr>
        <w:rFonts w:ascii="Arial" w:hAnsi="Arial" w:cs="Arial"/>
        <w:sz w:val="16"/>
        <w:szCs w:val="16"/>
      </w:rPr>
      <w:t>September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FB2F59">
      <w:rPr>
        <w:rStyle w:val="Heading5Char"/>
        <w:noProof/>
        <w:sz w:val="16"/>
        <w:szCs w:val="16"/>
      </w:rPr>
      <w:t>16</w:t>
    </w:r>
    <w:r w:rsidRPr="005239EB">
      <w:rPr>
        <w:rStyle w:val="Heading5Char"/>
        <w:sz w:val="16"/>
        <w:szCs w:val="16"/>
      </w:rPr>
      <w:fldChar w:fldCharType="end"/>
    </w:r>
    <w:r>
      <w:rPr>
        <w:rStyle w:val="Heading5Char"/>
        <w:sz w:val="16"/>
        <w:szCs w:val="16"/>
      </w:rPr>
      <w:t xml:space="preserve"> </w:t>
    </w:r>
    <w:r>
      <w:rPr>
        <w:rStyle w:val="Heading5Char"/>
        <w:sz w:val="16"/>
        <w:szCs w:val="16"/>
      </w:rPr>
      <w:tab/>
    </w:r>
    <w:r>
      <w:rPr>
        <w:rStyle w:val="Heading5Char"/>
        <w:sz w:val="16"/>
        <w:szCs w:val="16"/>
      </w:rPr>
      <w:tab/>
    </w:r>
    <w:r>
      <w:rPr>
        <w:rFonts w:ascii="Arial" w:hAnsi="Arial" w:cs="Arial"/>
        <w:sz w:val="16"/>
        <w:szCs w:val="16"/>
      </w:rPr>
      <w:tab/>
    </w:r>
    <w:r>
      <w:rPr>
        <w:rFonts w:ascii="Arial" w:hAnsi="Arial" w:cs="Arial"/>
        <w:sz w:val="16"/>
        <w:szCs w:val="16"/>
      </w:rPr>
      <w:tab/>
      <w:t xml:space="preserve">     Vol. 11</w:t>
    </w:r>
    <w:r w:rsidRPr="008479C9">
      <w:rPr>
        <w:rFonts w:ascii="Arial" w:hAnsi="Arial" w:cs="Arial"/>
        <w:sz w:val="16"/>
        <w:szCs w:val="16"/>
      </w:rPr>
      <w:t xml:space="preserve">. </w:t>
    </w:r>
    <w:r>
      <w:rPr>
        <w:rFonts w:ascii="Arial" w:hAnsi="Arial" w:cs="Arial"/>
        <w:sz w:val="16"/>
        <w:szCs w:val="16"/>
      </w:rPr>
      <w:t>No. 9</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AB" w:rsidRDefault="00C530AB" w:rsidP="00CD285E">
      <w:pPr>
        <w:spacing w:after="0"/>
      </w:pPr>
      <w:r>
        <w:separator/>
      </w:r>
    </w:p>
  </w:footnote>
  <w:footnote w:type="continuationSeparator" w:id="0">
    <w:p w:rsidR="00C530AB" w:rsidRDefault="00C530AB"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Default="00E635E1">
    <w:pPr>
      <w:framePr w:wrap="around" w:vAnchor="text" w:hAnchor="margin" w:xAlign="right" w:y="1"/>
    </w:pPr>
    <w:r>
      <w:fldChar w:fldCharType="begin"/>
    </w:r>
    <w:r>
      <w:instrText xml:space="preserve">PAGE  </w:instrText>
    </w:r>
    <w:r>
      <w:fldChar w:fldCharType="end"/>
    </w:r>
  </w:p>
  <w:p w:rsidR="00E635E1" w:rsidRDefault="00E635E1">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Pr="00220D42" w:rsidRDefault="00E635E1"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Default="00E635E1" w:rsidP="007600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E635E1" w:rsidRDefault="00E635E1" w:rsidP="007600EB">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Pr="00220D42" w:rsidRDefault="00E635E1" w:rsidP="007600EB">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Default="00E635E1"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35E1" w:rsidRDefault="00E635E1" w:rsidP="006954C8">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5E1" w:rsidRPr="00220D42" w:rsidRDefault="00E635E1"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24DE4"/>
    <w:multiLevelType w:val="multilevel"/>
    <w:tmpl w:val="BD24954A"/>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9CA46E8"/>
    <w:multiLevelType w:val="hybridMultilevel"/>
    <w:tmpl w:val="1A78B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A2D2A"/>
    <w:multiLevelType w:val="hybridMultilevel"/>
    <w:tmpl w:val="8E667C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6718E2"/>
    <w:multiLevelType w:val="hybridMultilevel"/>
    <w:tmpl w:val="A2AC3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310F2"/>
    <w:multiLevelType w:val="multilevel"/>
    <w:tmpl w:val="9C62D3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FCB1E33"/>
    <w:multiLevelType w:val="multilevel"/>
    <w:tmpl w:val="82DEE93C"/>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05B30D9"/>
    <w:multiLevelType w:val="multilevel"/>
    <w:tmpl w:val="47AE6F7E"/>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56B53E6"/>
    <w:multiLevelType w:val="multilevel"/>
    <w:tmpl w:val="B5E0E078"/>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16CA0927"/>
    <w:multiLevelType w:val="multilevel"/>
    <w:tmpl w:val="AA1470AE"/>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0BF7FF3"/>
    <w:multiLevelType w:val="multilevel"/>
    <w:tmpl w:val="AEEAB75E"/>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2A6E7445"/>
    <w:multiLevelType w:val="multilevel"/>
    <w:tmpl w:val="B8182148"/>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C142FCE"/>
    <w:multiLevelType w:val="multilevel"/>
    <w:tmpl w:val="75887C90"/>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EEE0A3C"/>
    <w:multiLevelType w:val="multilevel"/>
    <w:tmpl w:val="B5C6213A"/>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351B0861"/>
    <w:multiLevelType w:val="hybridMultilevel"/>
    <w:tmpl w:val="1980B7AE"/>
    <w:lvl w:ilvl="0" w:tplc="0409000F">
      <w:start w:val="1"/>
      <w:numFmt w:val="decimal"/>
      <w:lvlText w:val="%1."/>
      <w:lvlJc w:val="left"/>
      <w:pPr>
        <w:ind w:left="720" w:hanging="360"/>
      </w:pPr>
      <w:rPr>
        <w:rFonts w:hint="default"/>
      </w:rPr>
    </w:lvl>
    <w:lvl w:ilvl="1" w:tplc="10FCE6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D4D71"/>
    <w:multiLevelType w:val="multilevel"/>
    <w:tmpl w:val="4038169E"/>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3AE65966"/>
    <w:multiLevelType w:val="hybridMultilevel"/>
    <w:tmpl w:val="F13C54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E00E9"/>
    <w:multiLevelType w:val="multilevel"/>
    <w:tmpl w:val="23B4FB20"/>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CF82A6C"/>
    <w:multiLevelType w:val="hybridMultilevel"/>
    <w:tmpl w:val="398889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301BF4"/>
    <w:multiLevelType w:val="multilevel"/>
    <w:tmpl w:val="0724666C"/>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3D483058"/>
    <w:multiLevelType w:val="multilevel"/>
    <w:tmpl w:val="DEBA31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3D5D4D63"/>
    <w:multiLevelType w:val="hybridMultilevel"/>
    <w:tmpl w:val="FD02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6E1C42"/>
    <w:multiLevelType w:val="hybridMultilevel"/>
    <w:tmpl w:val="A9A0E7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F7567F"/>
    <w:multiLevelType w:val="hybridMultilevel"/>
    <w:tmpl w:val="3048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E27B1"/>
    <w:multiLevelType w:val="hybridMultilevel"/>
    <w:tmpl w:val="B38CA2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1E3BB0"/>
    <w:multiLevelType w:val="hybridMultilevel"/>
    <w:tmpl w:val="C01ED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62F8E"/>
    <w:multiLevelType w:val="multilevel"/>
    <w:tmpl w:val="2F367F86"/>
    <w:lvl w:ilvl="0">
      <w:start w:val="1"/>
      <w:numFmt w:val="bullet"/>
      <w:lvlText w:val=""/>
      <w:lvlJc w:val="left"/>
      <w:pPr>
        <w:ind w:left="-90" w:firstLine="360"/>
      </w:pPr>
      <w:rPr>
        <w:rFonts w:ascii="Wingdings" w:hAnsi="Wingdings" w:hint="default"/>
      </w:rPr>
    </w:lvl>
    <w:lvl w:ilvl="1">
      <w:start w:val="1"/>
      <w:numFmt w:val="bullet"/>
      <w:lvlText w:val="o"/>
      <w:lvlJc w:val="left"/>
      <w:pPr>
        <w:ind w:left="630" w:firstLine="1080"/>
      </w:pPr>
      <w:rPr>
        <w:rFonts w:ascii="Arial" w:eastAsia="Arial" w:hAnsi="Arial" w:cs="Arial"/>
      </w:rPr>
    </w:lvl>
    <w:lvl w:ilvl="2">
      <w:start w:val="1"/>
      <w:numFmt w:val="bullet"/>
      <w:lvlText w:val="▪"/>
      <w:lvlJc w:val="left"/>
      <w:pPr>
        <w:ind w:left="1350" w:firstLine="1800"/>
      </w:pPr>
      <w:rPr>
        <w:rFonts w:ascii="Arial" w:eastAsia="Arial" w:hAnsi="Arial" w:cs="Arial"/>
      </w:rPr>
    </w:lvl>
    <w:lvl w:ilvl="3">
      <w:start w:val="1"/>
      <w:numFmt w:val="bullet"/>
      <w:lvlText w:val="●"/>
      <w:lvlJc w:val="left"/>
      <w:pPr>
        <w:ind w:left="2070" w:firstLine="2520"/>
      </w:pPr>
      <w:rPr>
        <w:rFonts w:ascii="Arial" w:eastAsia="Arial" w:hAnsi="Arial" w:cs="Arial"/>
      </w:rPr>
    </w:lvl>
    <w:lvl w:ilvl="4">
      <w:start w:val="1"/>
      <w:numFmt w:val="bullet"/>
      <w:lvlText w:val="o"/>
      <w:lvlJc w:val="left"/>
      <w:pPr>
        <w:ind w:left="2790" w:firstLine="3240"/>
      </w:pPr>
      <w:rPr>
        <w:rFonts w:ascii="Arial" w:eastAsia="Arial" w:hAnsi="Arial" w:cs="Arial"/>
      </w:rPr>
    </w:lvl>
    <w:lvl w:ilvl="5">
      <w:start w:val="1"/>
      <w:numFmt w:val="bullet"/>
      <w:lvlText w:val="▪"/>
      <w:lvlJc w:val="left"/>
      <w:pPr>
        <w:ind w:left="3510" w:firstLine="3960"/>
      </w:pPr>
      <w:rPr>
        <w:rFonts w:ascii="Arial" w:eastAsia="Arial" w:hAnsi="Arial" w:cs="Arial"/>
      </w:rPr>
    </w:lvl>
    <w:lvl w:ilvl="6">
      <w:start w:val="1"/>
      <w:numFmt w:val="bullet"/>
      <w:lvlText w:val="●"/>
      <w:lvlJc w:val="left"/>
      <w:pPr>
        <w:ind w:left="4230" w:firstLine="4680"/>
      </w:pPr>
      <w:rPr>
        <w:rFonts w:ascii="Arial" w:eastAsia="Arial" w:hAnsi="Arial" w:cs="Arial"/>
      </w:rPr>
    </w:lvl>
    <w:lvl w:ilvl="7">
      <w:start w:val="1"/>
      <w:numFmt w:val="bullet"/>
      <w:lvlText w:val="o"/>
      <w:lvlJc w:val="left"/>
      <w:pPr>
        <w:ind w:left="4950" w:firstLine="5400"/>
      </w:pPr>
      <w:rPr>
        <w:rFonts w:ascii="Arial" w:eastAsia="Arial" w:hAnsi="Arial" w:cs="Arial"/>
      </w:rPr>
    </w:lvl>
    <w:lvl w:ilvl="8">
      <w:start w:val="1"/>
      <w:numFmt w:val="bullet"/>
      <w:lvlText w:val="▪"/>
      <w:lvlJc w:val="left"/>
      <w:pPr>
        <w:ind w:left="5670" w:firstLine="6120"/>
      </w:pPr>
      <w:rPr>
        <w:rFonts w:ascii="Arial" w:eastAsia="Arial" w:hAnsi="Arial" w:cs="Arial"/>
      </w:rPr>
    </w:lvl>
  </w:abstractNum>
  <w:abstractNum w:abstractNumId="26">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EA7545A"/>
    <w:multiLevelType w:val="hybridMultilevel"/>
    <w:tmpl w:val="1510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400BE0"/>
    <w:multiLevelType w:val="multilevel"/>
    <w:tmpl w:val="63204A24"/>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7708526A"/>
    <w:multiLevelType w:val="multilevel"/>
    <w:tmpl w:val="C0AC287A"/>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78582854"/>
    <w:multiLevelType w:val="multilevel"/>
    <w:tmpl w:val="9F562BA8"/>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7C2E5541"/>
    <w:multiLevelType w:val="hybridMultilevel"/>
    <w:tmpl w:val="FD02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F55AFB"/>
    <w:multiLevelType w:val="multilevel"/>
    <w:tmpl w:val="284C34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6"/>
  </w:num>
  <w:num w:numId="2">
    <w:abstractNumId w:val="29"/>
  </w:num>
  <w:num w:numId="3">
    <w:abstractNumId w:val="21"/>
  </w:num>
  <w:num w:numId="4">
    <w:abstractNumId w:val="20"/>
  </w:num>
  <w:num w:numId="5">
    <w:abstractNumId w:val="32"/>
  </w:num>
  <w:num w:numId="6">
    <w:abstractNumId w:val="2"/>
  </w:num>
  <w:num w:numId="7">
    <w:abstractNumId w:val="13"/>
  </w:num>
  <w:num w:numId="8">
    <w:abstractNumId w:val="3"/>
  </w:num>
  <w:num w:numId="9">
    <w:abstractNumId w:val="27"/>
  </w:num>
  <w:num w:numId="10">
    <w:abstractNumId w:val="24"/>
  </w:num>
  <w:num w:numId="11">
    <w:abstractNumId w:val="1"/>
  </w:num>
  <w:num w:numId="12">
    <w:abstractNumId w:val="4"/>
  </w:num>
  <w:num w:numId="13">
    <w:abstractNumId w:val="19"/>
  </w:num>
  <w:num w:numId="14">
    <w:abstractNumId w:val="25"/>
  </w:num>
  <w:num w:numId="15">
    <w:abstractNumId w:val="33"/>
  </w:num>
  <w:num w:numId="16">
    <w:abstractNumId w:val="17"/>
  </w:num>
  <w:num w:numId="17">
    <w:abstractNumId w:val="14"/>
  </w:num>
  <w:num w:numId="18">
    <w:abstractNumId w:val="28"/>
  </w:num>
  <w:num w:numId="19">
    <w:abstractNumId w:val="31"/>
  </w:num>
  <w:num w:numId="20">
    <w:abstractNumId w:val="0"/>
  </w:num>
  <w:num w:numId="21">
    <w:abstractNumId w:val="30"/>
  </w:num>
  <w:num w:numId="22">
    <w:abstractNumId w:val="8"/>
  </w:num>
  <w:num w:numId="23">
    <w:abstractNumId w:val="6"/>
  </w:num>
  <w:num w:numId="24">
    <w:abstractNumId w:val="11"/>
  </w:num>
  <w:num w:numId="25">
    <w:abstractNumId w:val="23"/>
  </w:num>
  <w:num w:numId="26">
    <w:abstractNumId w:val="18"/>
  </w:num>
  <w:num w:numId="27">
    <w:abstractNumId w:val="12"/>
  </w:num>
  <w:num w:numId="28">
    <w:abstractNumId w:val="9"/>
  </w:num>
  <w:num w:numId="29">
    <w:abstractNumId w:val="15"/>
  </w:num>
  <w:num w:numId="30">
    <w:abstractNumId w:val="16"/>
  </w:num>
  <w:num w:numId="31">
    <w:abstractNumId w:val="10"/>
  </w:num>
  <w:num w:numId="32">
    <w:abstractNumId w:val="5"/>
  </w:num>
  <w:num w:numId="33">
    <w:abstractNumId w:val="7"/>
  </w:num>
  <w:num w:numId="34">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17BA4"/>
    <w:rsid w:val="00020A5F"/>
    <w:rsid w:val="00022D9F"/>
    <w:rsid w:val="00023B75"/>
    <w:rsid w:val="000254A8"/>
    <w:rsid w:val="00025FA8"/>
    <w:rsid w:val="0002603E"/>
    <w:rsid w:val="000264A4"/>
    <w:rsid w:val="0002742E"/>
    <w:rsid w:val="00030D05"/>
    <w:rsid w:val="00040B4C"/>
    <w:rsid w:val="0004102A"/>
    <w:rsid w:val="00042E74"/>
    <w:rsid w:val="00044383"/>
    <w:rsid w:val="00044B41"/>
    <w:rsid w:val="0004672D"/>
    <w:rsid w:val="000474AC"/>
    <w:rsid w:val="0005343E"/>
    <w:rsid w:val="00053789"/>
    <w:rsid w:val="000539E2"/>
    <w:rsid w:val="000544C2"/>
    <w:rsid w:val="00054965"/>
    <w:rsid w:val="00055CF8"/>
    <w:rsid w:val="00055FBD"/>
    <w:rsid w:val="000569C6"/>
    <w:rsid w:val="00056C98"/>
    <w:rsid w:val="00060EC0"/>
    <w:rsid w:val="00062D1A"/>
    <w:rsid w:val="000643AD"/>
    <w:rsid w:val="0006676F"/>
    <w:rsid w:val="00070E44"/>
    <w:rsid w:val="0007413D"/>
    <w:rsid w:val="000755EB"/>
    <w:rsid w:val="00076CF1"/>
    <w:rsid w:val="00080B77"/>
    <w:rsid w:val="00082075"/>
    <w:rsid w:val="00082327"/>
    <w:rsid w:val="00083683"/>
    <w:rsid w:val="00083D79"/>
    <w:rsid w:val="00083F29"/>
    <w:rsid w:val="000909D8"/>
    <w:rsid w:val="00091902"/>
    <w:rsid w:val="000926EB"/>
    <w:rsid w:val="00092B53"/>
    <w:rsid w:val="00093A16"/>
    <w:rsid w:val="00096B87"/>
    <w:rsid w:val="000A0A9A"/>
    <w:rsid w:val="000A0F87"/>
    <w:rsid w:val="000A1725"/>
    <w:rsid w:val="000A283D"/>
    <w:rsid w:val="000A520A"/>
    <w:rsid w:val="000A56DE"/>
    <w:rsid w:val="000A6CCA"/>
    <w:rsid w:val="000A7F0B"/>
    <w:rsid w:val="000B0B7E"/>
    <w:rsid w:val="000B161A"/>
    <w:rsid w:val="000B3D54"/>
    <w:rsid w:val="000C15B9"/>
    <w:rsid w:val="000C20CD"/>
    <w:rsid w:val="000C4077"/>
    <w:rsid w:val="000C5256"/>
    <w:rsid w:val="000C5D47"/>
    <w:rsid w:val="000C7A7D"/>
    <w:rsid w:val="000C7B67"/>
    <w:rsid w:val="000D6B24"/>
    <w:rsid w:val="000D71B1"/>
    <w:rsid w:val="000D7AF3"/>
    <w:rsid w:val="000E1FA1"/>
    <w:rsid w:val="000E4F75"/>
    <w:rsid w:val="000E5704"/>
    <w:rsid w:val="000F0834"/>
    <w:rsid w:val="000F4D73"/>
    <w:rsid w:val="001000D9"/>
    <w:rsid w:val="0010149F"/>
    <w:rsid w:val="001016CA"/>
    <w:rsid w:val="00101A3A"/>
    <w:rsid w:val="00103485"/>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7E6"/>
    <w:rsid w:val="0014083B"/>
    <w:rsid w:val="00141C4D"/>
    <w:rsid w:val="001431B7"/>
    <w:rsid w:val="00144E8C"/>
    <w:rsid w:val="001462AD"/>
    <w:rsid w:val="001514CF"/>
    <w:rsid w:val="00152724"/>
    <w:rsid w:val="001541F7"/>
    <w:rsid w:val="001553B0"/>
    <w:rsid w:val="0016140A"/>
    <w:rsid w:val="00161F4B"/>
    <w:rsid w:val="00162CB8"/>
    <w:rsid w:val="00164388"/>
    <w:rsid w:val="00164719"/>
    <w:rsid w:val="00167D8C"/>
    <w:rsid w:val="0017051F"/>
    <w:rsid w:val="00174980"/>
    <w:rsid w:val="001756A5"/>
    <w:rsid w:val="00177E82"/>
    <w:rsid w:val="00177ECD"/>
    <w:rsid w:val="0018054A"/>
    <w:rsid w:val="00182BB3"/>
    <w:rsid w:val="001831B6"/>
    <w:rsid w:val="001832C1"/>
    <w:rsid w:val="0018487D"/>
    <w:rsid w:val="00186322"/>
    <w:rsid w:val="001905FE"/>
    <w:rsid w:val="0019329E"/>
    <w:rsid w:val="00194C7B"/>
    <w:rsid w:val="00197DCF"/>
    <w:rsid w:val="001A138F"/>
    <w:rsid w:val="001A325F"/>
    <w:rsid w:val="001A6E1D"/>
    <w:rsid w:val="001B3B7F"/>
    <w:rsid w:val="001B414C"/>
    <w:rsid w:val="001B4EEA"/>
    <w:rsid w:val="001B694D"/>
    <w:rsid w:val="001C2C32"/>
    <w:rsid w:val="001C3CE2"/>
    <w:rsid w:val="001C79CE"/>
    <w:rsid w:val="001D1190"/>
    <w:rsid w:val="001D240A"/>
    <w:rsid w:val="001D2879"/>
    <w:rsid w:val="001D2AF9"/>
    <w:rsid w:val="001D4C00"/>
    <w:rsid w:val="001D4C19"/>
    <w:rsid w:val="001D5149"/>
    <w:rsid w:val="001D7F57"/>
    <w:rsid w:val="001E04FB"/>
    <w:rsid w:val="001E4628"/>
    <w:rsid w:val="001E5B7E"/>
    <w:rsid w:val="001E6DF3"/>
    <w:rsid w:val="001F0422"/>
    <w:rsid w:val="001F26C2"/>
    <w:rsid w:val="001F38E5"/>
    <w:rsid w:val="001F51FE"/>
    <w:rsid w:val="001F73B4"/>
    <w:rsid w:val="001F7733"/>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3D5A"/>
    <w:rsid w:val="00247A2A"/>
    <w:rsid w:val="00253764"/>
    <w:rsid w:val="00253C61"/>
    <w:rsid w:val="00255788"/>
    <w:rsid w:val="00256CE0"/>
    <w:rsid w:val="00257D00"/>
    <w:rsid w:val="00260ECF"/>
    <w:rsid w:val="002676E6"/>
    <w:rsid w:val="002677DE"/>
    <w:rsid w:val="00267855"/>
    <w:rsid w:val="0026797F"/>
    <w:rsid w:val="00270F60"/>
    <w:rsid w:val="00274730"/>
    <w:rsid w:val="00274E4A"/>
    <w:rsid w:val="00282C4B"/>
    <w:rsid w:val="00285314"/>
    <w:rsid w:val="002866B2"/>
    <w:rsid w:val="0028794C"/>
    <w:rsid w:val="00294A70"/>
    <w:rsid w:val="0029725E"/>
    <w:rsid w:val="002A06A6"/>
    <w:rsid w:val="002A4BE5"/>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D6"/>
    <w:rsid w:val="002D37B9"/>
    <w:rsid w:val="002D50FA"/>
    <w:rsid w:val="002D55B7"/>
    <w:rsid w:val="002D57F0"/>
    <w:rsid w:val="002D69A0"/>
    <w:rsid w:val="002D75E5"/>
    <w:rsid w:val="002E0175"/>
    <w:rsid w:val="002E617A"/>
    <w:rsid w:val="002E7F3F"/>
    <w:rsid w:val="002F0673"/>
    <w:rsid w:val="002F07F7"/>
    <w:rsid w:val="002F099E"/>
    <w:rsid w:val="002F0EA7"/>
    <w:rsid w:val="002F4508"/>
    <w:rsid w:val="002F47E8"/>
    <w:rsid w:val="002F4880"/>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251A"/>
    <w:rsid w:val="00343814"/>
    <w:rsid w:val="00346811"/>
    <w:rsid w:val="0035003A"/>
    <w:rsid w:val="003531EB"/>
    <w:rsid w:val="00353585"/>
    <w:rsid w:val="00354ADE"/>
    <w:rsid w:val="00354F32"/>
    <w:rsid w:val="00360C86"/>
    <w:rsid w:val="0036178C"/>
    <w:rsid w:val="00361FC9"/>
    <w:rsid w:val="00362CF1"/>
    <w:rsid w:val="00366D4E"/>
    <w:rsid w:val="00367675"/>
    <w:rsid w:val="0036788C"/>
    <w:rsid w:val="00367A8B"/>
    <w:rsid w:val="00372A15"/>
    <w:rsid w:val="00381CC0"/>
    <w:rsid w:val="003879F6"/>
    <w:rsid w:val="003972C2"/>
    <w:rsid w:val="003A19C3"/>
    <w:rsid w:val="003A421B"/>
    <w:rsid w:val="003A574F"/>
    <w:rsid w:val="003A79C3"/>
    <w:rsid w:val="003B4792"/>
    <w:rsid w:val="003B5427"/>
    <w:rsid w:val="003C2FFB"/>
    <w:rsid w:val="003C34DF"/>
    <w:rsid w:val="003C6938"/>
    <w:rsid w:val="003D205A"/>
    <w:rsid w:val="003D47C3"/>
    <w:rsid w:val="003E009A"/>
    <w:rsid w:val="003E094E"/>
    <w:rsid w:val="003E095C"/>
    <w:rsid w:val="003E3A55"/>
    <w:rsid w:val="003E5172"/>
    <w:rsid w:val="003E5C24"/>
    <w:rsid w:val="003E6E79"/>
    <w:rsid w:val="003E7D5E"/>
    <w:rsid w:val="003F18E7"/>
    <w:rsid w:val="003F1A09"/>
    <w:rsid w:val="003F1AF0"/>
    <w:rsid w:val="003F20DA"/>
    <w:rsid w:val="003F48FD"/>
    <w:rsid w:val="00401E59"/>
    <w:rsid w:val="004037AA"/>
    <w:rsid w:val="004041A0"/>
    <w:rsid w:val="00410C48"/>
    <w:rsid w:val="00415999"/>
    <w:rsid w:val="00417083"/>
    <w:rsid w:val="0041708A"/>
    <w:rsid w:val="00421526"/>
    <w:rsid w:val="00421984"/>
    <w:rsid w:val="004228AC"/>
    <w:rsid w:val="00422E2C"/>
    <w:rsid w:val="00427B99"/>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3A39"/>
    <w:rsid w:val="00464F0C"/>
    <w:rsid w:val="00471400"/>
    <w:rsid w:val="004716AD"/>
    <w:rsid w:val="00472F60"/>
    <w:rsid w:val="00476052"/>
    <w:rsid w:val="00480156"/>
    <w:rsid w:val="00480C41"/>
    <w:rsid w:val="00481C15"/>
    <w:rsid w:val="0048397B"/>
    <w:rsid w:val="00484DDC"/>
    <w:rsid w:val="00486425"/>
    <w:rsid w:val="00491E77"/>
    <w:rsid w:val="004A2AC8"/>
    <w:rsid w:val="004A4D68"/>
    <w:rsid w:val="004B11EB"/>
    <w:rsid w:val="004B2C44"/>
    <w:rsid w:val="004B3CCD"/>
    <w:rsid w:val="004B4F7C"/>
    <w:rsid w:val="004B59A4"/>
    <w:rsid w:val="004C46D1"/>
    <w:rsid w:val="004D4AAF"/>
    <w:rsid w:val="004D710B"/>
    <w:rsid w:val="004D7A20"/>
    <w:rsid w:val="004D7CC9"/>
    <w:rsid w:val="004E0D83"/>
    <w:rsid w:val="004E1EAD"/>
    <w:rsid w:val="004F464B"/>
    <w:rsid w:val="004F6F34"/>
    <w:rsid w:val="004F7B1D"/>
    <w:rsid w:val="0050511E"/>
    <w:rsid w:val="00505903"/>
    <w:rsid w:val="005073FC"/>
    <w:rsid w:val="00507885"/>
    <w:rsid w:val="00511D6E"/>
    <w:rsid w:val="005130A4"/>
    <w:rsid w:val="00513FDA"/>
    <w:rsid w:val="00514594"/>
    <w:rsid w:val="00516A4A"/>
    <w:rsid w:val="0051753C"/>
    <w:rsid w:val="005207A4"/>
    <w:rsid w:val="00520BFB"/>
    <w:rsid w:val="00521B00"/>
    <w:rsid w:val="00521BE6"/>
    <w:rsid w:val="005239EB"/>
    <w:rsid w:val="00527578"/>
    <w:rsid w:val="0053227D"/>
    <w:rsid w:val="00542238"/>
    <w:rsid w:val="005433A1"/>
    <w:rsid w:val="00545046"/>
    <w:rsid w:val="0054620A"/>
    <w:rsid w:val="00547F2C"/>
    <w:rsid w:val="005503E4"/>
    <w:rsid w:val="0055157A"/>
    <w:rsid w:val="0055203F"/>
    <w:rsid w:val="00555F70"/>
    <w:rsid w:val="00556340"/>
    <w:rsid w:val="00560FDC"/>
    <w:rsid w:val="00570192"/>
    <w:rsid w:val="00570468"/>
    <w:rsid w:val="005765DD"/>
    <w:rsid w:val="0057694A"/>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B101E"/>
    <w:rsid w:val="005B2A7A"/>
    <w:rsid w:val="005B2C7E"/>
    <w:rsid w:val="005B376F"/>
    <w:rsid w:val="005B6A8F"/>
    <w:rsid w:val="005C03A4"/>
    <w:rsid w:val="005C1BC6"/>
    <w:rsid w:val="005C3ED0"/>
    <w:rsid w:val="005C4511"/>
    <w:rsid w:val="005C4E84"/>
    <w:rsid w:val="005C5F62"/>
    <w:rsid w:val="005C612F"/>
    <w:rsid w:val="005D455F"/>
    <w:rsid w:val="005D6DD3"/>
    <w:rsid w:val="005E03DB"/>
    <w:rsid w:val="005E19B6"/>
    <w:rsid w:val="005E19D7"/>
    <w:rsid w:val="005E274B"/>
    <w:rsid w:val="005E37E6"/>
    <w:rsid w:val="005E38E7"/>
    <w:rsid w:val="005E40FD"/>
    <w:rsid w:val="005F1C68"/>
    <w:rsid w:val="005F3783"/>
    <w:rsid w:val="005F3897"/>
    <w:rsid w:val="0060443F"/>
    <w:rsid w:val="00604852"/>
    <w:rsid w:val="006057E6"/>
    <w:rsid w:val="00607478"/>
    <w:rsid w:val="00607D47"/>
    <w:rsid w:val="00613D3D"/>
    <w:rsid w:val="00614641"/>
    <w:rsid w:val="006151FF"/>
    <w:rsid w:val="00616FA7"/>
    <w:rsid w:val="00620873"/>
    <w:rsid w:val="006239DC"/>
    <w:rsid w:val="00626AE6"/>
    <w:rsid w:val="0062764B"/>
    <w:rsid w:val="006304A6"/>
    <w:rsid w:val="00631412"/>
    <w:rsid w:val="006317C9"/>
    <w:rsid w:val="00632621"/>
    <w:rsid w:val="006345BC"/>
    <w:rsid w:val="00637A86"/>
    <w:rsid w:val="00642617"/>
    <w:rsid w:val="00647149"/>
    <w:rsid w:val="006517D5"/>
    <w:rsid w:val="00651B6E"/>
    <w:rsid w:val="0065751C"/>
    <w:rsid w:val="00660003"/>
    <w:rsid w:val="00661013"/>
    <w:rsid w:val="00664907"/>
    <w:rsid w:val="00666785"/>
    <w:rsid w:val="00676A9C"/>
    <w:rsid w:val="00677D73"/>
    <w:rsid w:val="00683975"/>
    <w:rsid w:val="00685E4D"/>
    <w:rsid w:val="00687D63"/>
    <w:rsid w:val="00694972"/>
    <w:rsid w:val="006954C8"/>
    <w:rsid w:val="006976EA"/>
    <w:rsid w:val="006A020D"/>
    <w:rsid w:val="006A1E65"/>
    <w:rsid w:val="006A284B"/>
    <w:rsid w:val="006A42D3"/>
    <w:rsid w:val="006B0431"/>
    <w:rsid w:val="006B0D76"/>
    <w:rsid w:val="006B10C9"/>
    <w:rsid w:val="006B5641"/>
    <w:rsid w:val="006C03FF"/>
    <w:rsid w:val="006C08BC"/>
    <w:rsid w:val="006C0D74"/>
    <w:rsid w:val="006C0F3A"/>
    <w:rsid w:val="006C405E"/>
    <w:rsid w:val="006C50F6"/>
    <w:rsid w:val="006C51DE"/>
    <w:rsid w:val="006C7F54"/>
    <w:rsid w:val="006D49FF"/>
    <w:rsid w:val="006D74A9"/>
    <w:rsid w:val="006E1514"/>
    <w:rsid w:val="006E223E"/>
    <w:rsid w:val="006E2DAA"/>
    <w:rsid w:val="006E2DED"/>
    <w:rsid w:val="006E5967"/>
    <w:rsid w:val="006E7C83"/>
    <w:rsid w:val="006F1E2E"/>
    <w:rsid w:val="006F261C"/>
    <w:rsid w:val="006F5016"/>
    <w:rsid w:val="006F65B7"/>
    <w:rsid w:val="006F7FEE"/>
    <w:rsid w:val="007029F5"/>
    <w:rsid w:val="0070403F"/>
    <w:rsid w:val="00704D56"/>
    <w:rsid w:val="00705FE4"/>
    <w:rsid w:val="00714563"/>
    <w:rsid w:val="00714E1D"/>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EBD"/>
    <w:rsid w:val="00746D7A"/>
    <w:rsid w:val="00746F6C"/>
    <w:rsid w:val="00755EA4"/>
    <w:rsid w:val="00757E98"/>
    <w:rsid w:val="007600EB"/>
    <w:rsid w:val="00760ACC"/>
    <w:rsid w:val="00765EBA"/>
    <w:rsid w:val="00767053"/>
    <w:rsid w:val="00774DB0"/>
    <w:rsid w:val="007752FA"/>
    <w:rsid w:val="007813A8"/>
    <w:rsid w:val="00792AE6"/>
    <w:rsid w:val="00793388"/>
    <w:rsid w:val="00796896"/>
    <w:rsid w:val="007A44E1"/>
    <w:rsid w:val="007A7918"/>
    <w:rsid w:val="007B137A"/>
    <w:rsid w:val="007B1F60"/>
    <w:rsid w:val="007B76EE"/>
    <w:rsid w:val="007C0462"/>
    <w:rsid w:val="007C231E"/>
    <w:rsid w:val="007C44D2"/>
    <w:rsid w:val="007D1DB2"/>
    <w:rsid w:val="007D2F55"/>
    <w:rsid w:val="007D4476"/>
    <w:rsid w:val="007D449B"/>
    <w:rsid w:val="007D5FCB"/>
    <w:rsid w:val="007D721B"/>
    <w:rsid w:val="007E28CA"/>
    <w:rsid w:val="007E33F7"/>
    <w:rsid w:val="007F0807"/>
    <w:rsid w:val="007F4735"/>
    <w:rsid w:val="007F7FF8"/>
    <w:rsid w:val="008001A9"/>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B2B"/>
    <w:rsid w:val="00847E65"/>
    <w:rsid w:val="00852D19"/>
    <w:rsid w:val="00856299"/>
    <w:rsid w:val="00861070"/>
    <w:rsid w:val="00864315"/>
    <w:rsid w:val="008739D0"/>
    <w:rsid w:val="00873B75"/>
    <w:rsid w:val="0087598A"/>
    <w:rsid w:val="008760C9"/>
    <w:rsid w:val="008770A3"/>
    <w:rsid w:val="00881908"/>
    <w:rsid w:val="00882C20"/>
    <w:rsid w:val="00883CC1"/>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4EBF"/>
    <w:rsid w:val="008C5F26"/>
    <w:rsid w:val="008C71EC"/>
    <w:rsid w:val="008D0E29"/>
    <w:rsid w:val="008D44B4"/>
    <w:rsid w:val="008E07F1"/>
    <w:rsid w:val="008E10B6"/>
    <w:rsid w:val="008E1B58"/>
    <w:rsid w:val="008E1B5A"/>
    <w:rsid w:val="008E3B54"/>
    <w:rsid w:val="008E4E45"/>
    <w:rsid w:val="008F39B2"/>
    <w:rsid w:val="008F3A8F"/>
    <w:rsid w:val="008F5A97"/>
    <w:rsid w:val="008F6DF6"/>
    <w:rsid w:val="008F6ECB"/>
    <w:rsid w:val="008F6FB1"/>
    <w:rsid w:val="008F706A"/>
    <w:rsid w:val="00903AB3"/>
    <w:rsid w:val="00904707"/>
    <w:rsid w:val="0090489F"/>
    <w:rsid w:val="00907A80"/>
    <w:rsid w:val="00907F51"/>
    <w:rsid w:val="00911C00"/>
    <w:rsid w:val="0091229A"/>
    <w:rsid w:val="009142B9"/>
    <w:rsid w:val="009159C3"/>
    <w:rsid w:val="00915CF7"/>
    <w:rsid w:val="00920BCD"/>
    <w:rsid w:val="00921FE3"/>
    <w:rsid w:val="0092242E"/>
    <w:rsid w:val="00922D9C"/>
    <w:rsid w:val="00923383"/>
    <w:rsid w:val="00923459"/>
    <w:rsid w:val="009235C3"/>
    <w:rsid w:val="0092630C"/>
    <w:rsid w:val="0092736E"/>
    <w:rsid w:val="00931469"/>
    <w:rsid w:val="0093489A"/>
    <w:rsid w:val="00935016"/>
    <w:rsid w:val="00937DC1"/>
    <w:rsid w:val="0094043B"/>
    <w:rsid w:val="0094293A"/>
    <w:rsid w:val="00943A34"/>
    <w:rsid w:val="00945333"/>
    <w:rsid w:val="009456FB"/>
    <w:rsid w:val="00951A83"/>
    <w:rsid w:val="00952F98"/>
    <w:rsid w:val="00960A5D"/>
    <w:rsid w:val="00961A1E"/>
    <w:rsid w:val="00962F98"/>
    <w:rsid w:val="009655BF"/>
    <w:rsid w:val="009714B7"/>
    <w:rsid w:val="00972376"/>
    <w:rsid w:val="00972E7D"/>
    <w:rsid w:val="0097426B"/>
    <w:rsid w:val="00974F4F"/>
    <w:rsid w:val="009756BE"/>
    <w:rsid w:val="009820ED"/>
    <w:rsid w:val="00982ED7"/>
    <w:rsid w:val="00994271"/>
    <w:rsid w:val="009942DD"/>
    <w:rsid w:val="009947E0"/>
    <w:rsid w:val="009957F6"/>
    <w:rsid w:val="00995EE4"/>
    <w:rsid w:val="009A0A72"/>
    <w:rsid w:val="009A1DAB"/>
    <w:rsid w:val="009A31F4"/>
    <w:rsid w:val="009A4689"/>
    <w:rsid w:val="009A4F9E"/>
    <w:rsid w:val="009B1804"/>
    <w:rsid w:val="009B4F56"/>
    <w:rsid w:val="009B6BBA"/>
    <w:rsid w:val="009B74AB"/>
    <w:rsid w:val="009C38D2"/>
    <w:rsid w:val="009D0429"/>
    <w:rsid w:val="009D2ADB"/>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6C3"/>
    <w:rsid w:val="00A20731"/>
    <w:rsid w:val="00A23CAB"/>
    <w:rsid w:val="00A30068"/>
    <w:rsid w:val="00A30207"/>
    <w:rsid w:val="00A30F85"/>
    <w:rsid w:val="00A32819"/>
    <w:rsid w:val="00A375B7"/>
    <w:rsid w:val="00A37FD6"/>
    <w:rsid w:val="00A40BB7"/>
    <w:rsid w:val="00A40C35"/>
    <w:rsid w:val="00A50B2D"/>
    <w:rsid w:val="00A50F4F"/>
    <w:rsid w:val="00A563CD"/>
    <w:rsid w:val="00A5759B"/>
    <w:rsid w:val="00A60ABE"/>
    <w:rsid w:val="00A63C79"/>
    <w:rsid w:val="00A65BA5"/>
    <w:rsid w:val="00A66818"/>
    <w:rsid w:val="00A7046C"/>
    <w:rsid w:val="00A81D3C"/>
    <w:rsid w:val="00A81E51"/>
    <w:rsid w:val="00A82C2B"/>
    <w:rsid w:val="00A832FC"/>
    <w:rsid w:val="00A84498"/>
    <w:rsid w:val="00A85A60"/>
    <w:rsid w:val="00A85F92"/>
    <w:rsid w:val="00A8612D"/>
    <w:rsid w:val="00A879DE"/>
    <w:rsid w:val="00A87B4C"/>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530B"/>
    <w:rsid w:val="00AF0D68"/>
    <w:rsid w:val="00AF4381"/>
    <w:rsid w:val="00AF464A"/>
    <w:rsid w:val="00AF663A"/>
    <w:rsid w:val="00AF7545"/>
    <w:rsid w:val="00AF7FF1"/>
    <w:rsid w:val="00B01608"/>
    <w:rsid w:val="00B03006"/>
    <w:rsid w:val="00B04E6A"/>
    <w:rsid w:val="00B05A2C"/>
    <w:rsid w:val="00B10F5D"/>
    <w:rsid w:val="00B122DD"/>
    <w:rsid w:val="00B13075"/>
    <w:rsid w:val="00B152AB"/>
    <w:rsid w:val="00B16D6D"/>
    <w:rsid w:val="00B172D6"/>
    <w:rsid w:val="00B21703"/>
    <w:rsid w:val="00B233D6"/>
    <w:rsid w:val="00B24C89"/>
    <w:rsid w:val="00B25F7D"/>
    <w:rsid w:val="00B3158C"/>
    <w:rsid w:val="00B32715"/>
    <w:rsid w:val="00B32895"/>
    <w:rsid w:val="00B335DB"/>
    <w:rsid w:val="00B40FE6"/>
    <w:rsid w:val="00B44290"/>
    <w:rsid w:val="00B45248"/>
    <w:rsid w:val="00B54202"/>
    <w:rsid w:val="00B6791F"/>
    <w:rsid w:val="00B7175A"/>
    <w:rsid w:val="00B71CD5"/>
    <w:rsid w:val="00B72576"/>
    <w:rsid w:val="00B74370"/>
    <w:rsid w:val="00B760CE"/>
    <w:rsid w:val="00B802AC"/>
    <w:rsid w:val="00B86914"/>
    <w:rsid w:val="00B86EEB"/>
    <w:rsid w:val="00B90413"/>
    <w:rsid w:val="00B90E98"/>
    <w:rsid w:val="00B91E91"/>
    <w:rsid w:val="00B94FEF"/>
    <w:rsid w:val="00B95A63"/>
    <w:rsid w:val="00B95CD5"/>
    <w:rsid w:val="00B96288"/>
    <w:rsid w:val="00BA003A"/>
    <w:rsid w:val="00BA2A0F"/>
    <w:rsid w:val="00BA7C86"/>
    <w:rsid w:val="00BB1CE0"/>
    <w:rsid w:val="00BB1EBF"/>
    <w:rsid w:val="00BB4135"/>
    <w:rsid w:val="00BB7D85"/>
    <w:rsid w:val="00BC12AF"/>
    <w:rsid w:val="00BC4463"/>
    <w:rsid w:val="00BC5DB3"/>
    <w:rsid w:val="00BC6745"/>
    <w:rsid w:val="00BC6772"/>
    <w:rsid w:val="00BD0ACB"/>
    <w:rsid w:val="00BD0C7A"/>
    <w:rsid w:val="00BD223B"/>
    <w:rsid w:val="00BD6D61"/>
    <w:rsid w:val="00BD6E6E"/>
    <w:rsid w:val="00BD7ECA"/>
    <w:rsid w:val="00BE3416"/>
    <w:rsid w:val="00BE4721"/>
    <w:rsid w:val="00BE53CE"/>
    <w:rsid w:val="00BF1317"/>
    <w:rsid w:val="00BF16D5"/>
    <w:rsid w:val="00BF2071"/>
    <w:rsid w:val="00BF66B3"/>
    <w:rsid w:val="00BF755D"/>
    <w:rsid w:val="00C0246E"/>
    <w:rsid w:val="00C0295F"/>
    <w:rsid w:val="00C0297E"/>
    <w:rsid w:val="00C02F8C"/>
    <w:rsid w:val="00C04E59"/>
    <w:rsid w:val="00C04F41"/>
    <w:rsid w:val="00C051FA"/>
    <w:rsid w:val="00C076CD"/>
    <w:rsid w:val="00C10A37"/>
    <w:rsid w:val="00C1332C"/>
    <w:rsid w:val="00C15CBA"/>
    <w:rsid w:val="00C1781C"/>
    <w:rsid w:val="00C17D46"/>
    <w:rsid w:val="00C25740"/>
    <w:rsid w:val="00C25FD5"/>
    <w:rsid w:val="00C30C9B"/>
    <w:rsid w:val="00C3154D"/>
    <w:rsid w:val="00C31D2F"/>
    <w:rsid w:val="00C35360"/>
    <w:rsid w:val="00C36443"/>
    <w:rsid w:val="00C460A9"/>
    <w:rsid w:val="00C5135F"/>
    <w:rsid w:val="00C530AB"/>
    <w:rsid w:val="00C53175"/>
    <w:rsid w:val="00C55885"/>
    <w:rsid w:val="00C56300"/>
    <w:rsid w:val="00C6035D"/>
    <w:rsid w:val="00C60574"/>
    <w:rsid w:val="00C609C5"/>
    <w:rsid w:val="00C65BDA"/>
    <w:rsid w:val="00C66E5F"/>
    <w:rsid w:val="00C70874"/>
    <w:rsid w:val="00C73831"/>
    <w:rsid w:val="00C75467"/>
    <w:rsid w:val="00C77E9C"/>
    <w:rsid w:val="00C8274F"/>
    <w:rsid w:val="00C868F3"/>
    <w:rsid w:val="00C87E79"/>
    <w:rsid w:val="00C94255"/>
    <w:rsid w:val="00C95597"/>
    <w:rsid w:val="00C97D50"/>
    <w:rsid w:val="00CA1EC6"/>
    <w:rsid w:val="00CA2093"/>
    <w:rsid w:val="00CA21E6"/>
    <w:rsid w:val="00CA2668"/>
    <w:rsid w:val="00CA4B7C"/>
    <w:rsid w:val="00CA6954"/>
    <w:rsid w:val="00CA6DD8"/>
    <w:rsid w:val="00CB0807"/>
    <w:rsid w:val="00CB5484"/>
    <w:rsid w:val="00CB5E1B"/>
    <w:rsid w:val="00CB6438"/>
    <w:rsid w:val="00CC0FA5"/>
    <w:rsid w:val="00CC1607"/>
    <w:rsid w:val="00CC2B06"/>
    <w:rsid w:val="00CC2F9E"/>
    <w:rsid w:val="00CC6C63"/>
    <w:rsid w:val="00CC7EA4"/>
    <w:rsid w:val="00CD027D"/>
    <w:rsid w:val="00CD22DD"/>
    <w:rsid w:val="00CD260A"/>
    <w:rsid w:val="00CD285E"/>
    <w:rsid w:val="00CD2A37"/>
    <w:rsid w:val="00CD3321"/>
    <w:rsid w:val="00CD4385"/>
    <w:rsid w:val="00CD5310"/>
    <w:rsid w:val="00CD6866"/>
    <w:rsid w:val="00CD7F4B"/>
    <w:rsid w:val="00CE0A7A"/>
    <w:rsid w:val="00CE6ABA"/>
    <w:rsid w:val="00CF3383"/>
    <w:rsid w:val="00CF6170"/>
    <w:rsid w:val="00CF6616"/>
    <w:rsid w:val="00D00723"/>
    <w:rsid w:val="00D0495C"/>
    <w:rsid w:val="00D04A04"/>
    <w:rsid w:val="00D04D76"/>
    <w:rsid w:val="00D075F0"/>
    <w:rsid w:val="00D12AC8"/>
    <w:rsid w:val="00D15600"/>
    <w:rsid w:val="00D16644"/>
    <w:rsid w:val="00D2008F"/>
    <w:rsid w:val="00D22005"/>
    <w:rsid w:val="00D2347D"/>
    <w:rsid w:val="00D277D3"/>
    <w:rsid w:val="00D3111F"/>
    <w:rsid w:val="00D31E0B"/>
    <w:rsid w:val="00D33258"/>
    <w:rsid w:val="00D3690E"/>
    <w:rsid w:val="00D37C5D"/>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67BD"/>
    <w:rsid w:val="00D87F97"/>
    <w:rsid w:val="00D91F50"/>
    <w:rsid w:val="00D94749"/>
    <w:rsid w:val="00D95645"/>
    <w:rsid w:val="00D96642"/>
    <w:rsid w:val="00DA1D13"/>
    <w:rsid w:val="00DA3C7C"/>
    <w:rsid w:val="00DA47D3"/>
    <w:rsid w:val="00DA63F9"/>
    <w:rsid w:val="00DB0375"/>
    <w:rsid w:val="00DB3D48"/>
    <w:rsid w:val="00DB6BE5"/>
    <w:rsid w:val="00DC0438"/>
    <w:rsid w:val="00DC380A"/>
    <w:rsid w:val="00DC690B"/>
    <w:rsid w:val="00DD02AF"/>
    <w:rsid w:val="00DD1947"/>
    <w:rsid w:val="00DD4788"/>
    <w:rsid w:val="00DD6DB5"/>
    <w:rsid w:val="00DD6EC7"/>
    <w:rsid w:val="00DE37CF"/>
    <w:rsid w:val="00DE48D4"/>
    <w:rsid w:val="00DF085D"/>
    <w:rsid w:val="00DF1F26"/>
    <w:rsid w:val="00DF301C"/>
    <w:rsid w:val="00DF4E44"/>
    <w:rsid w:val="00DF59D7"/>
    <w:rsid w:val="00E03CB2"/>
    <w:rsid w:val="00E121EA"/>
    <w:rsid w:val="00E1400C"/>
    <w:rsid w:val="00E14EE5"/>
    <w:rsid w:val="00E164FC"/>
    <w:rsid w:val="00E17360"/>
    <w:rsid w:val="00E20C87"/>
    <w:rsid w:val="00E2210B"/>
    <w:rsid w:val="00E23BDB"/>
    <w:rsid w:val="00E24272"/>
    <w:rsid w:val="00E26F5C"/>
    <w:rsid w:val="00E33B31"/>
    <w:rsid w:val="00E37824"/>
    <w:rsid w:val="00E439FB"/>
    <w:rsid w:val="00E45272"/>
    <w:rsid w:val="00E47957"/>
    <w:rsid w:val="00E50348"/>
    <w:rsid w:val="00E52954"/>
    <w:rsid w:val="00E6252D"/>
    <w:rsid w:val="00E635E1"/>
    <w:rsid w:val="00E67EA6"/>
    <w:rsid w:val="00E717A3"/>
    <w:rsid w:val="00E74ACD"/>
    <w:rsid w:val="00E75DB6"/>
    <w:rsid w:val="00E823C3"/>
    <w:rsid w:val="00E842C3"/>
    <w:rsid w:val="00E86549"/>
    <w:rsid w:val="00E87022"/>
    <w:rsid w:val="00E94FCC"/>
    <w:rsid w:val="00E965A4"/>
    <w:rsid w:val="00E972A6"/>
    <w:rsid w:val="00E97F3C"/>
    <w:rsid w:val="00EA092E"/>
    <w:rsid w:val="00EA2EB3"/>
    <w:rsid w:val="00EA30FD"/>
    <w:rsid w:val="00EA554D"/>
    <w:rsid w:val="00EB0689"/>
    <w:rsid w:val="00EB1FE9"/>
    <w:rsid w:val="00EB3880"/>
    <w:rsid w:val="00EB545A"/>
    <w:rsid w:val="00EB65BF"/>
    <w:rsid w:val="00EC0E35"/>
    <w:rsid w:val="00EC137C"/>
    <w:rsid w:val="00EC1D1E"/>
    <w:rsid w:val="00ED4844"/>
    <w:rsid w:val="00ED535D"/>
    <w:rsid w:val="00ED6EA0"/>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50496"/>
    <w:rsid w:val="00F50985"/>
    <w:rsid w:val="00F510B3"/>
    <w:rsid w:val="00F52B87"/>
    <w:rsid w:val="00F53281"/>
    <w:rsid w:val="00F53C2F"/>
    <w:rsid w:val="00F550A7"/>
    <w:rsid w:val="00F5712C"/>
    <w:rsid w:val="00F723DD"/>
    <w:rsid w:val="00F7489A"/>
    <w:rsid w:val="00F74BBF"/>
    <w:rsid w:val="00F7772E"/>
    <w:rsid w:val="00F82493"/>
    <w:rsid w:val="00F86317"/>
    <w:rsid w:val="00F869FC"/>
    <w:rsid w:val="00F917B3"/>
    <w:rsid w:val="00F926BA"/>
    <w:rsid w:val="00F95FB8"/>
    <w:rsid w:val="00F96256"/>
    <w:rsid w:val="00FA0642"/>
    <w:rsid w:val="00FA51E1"/>
    <w:rsid w:val="00FA68B7"/>
    <w:rsid w:val="00FA7D90"/>
    <w:rsid w:val="00FB1337"/>
    <w:rsid w:val="00FB1342"/>
    <w:rsid w:val="00FB24D3"/>
    <w:rsid w:val="00FB2CD7"/>
    <w:rsid w:val="00FB2F59"/>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aliases w:val="IATED-Section"/>
    <w:next w:val="Normal"/>
    <w:link w:val="Heading1Char"/>
    <w:uiPriority w:val="9"/>
    <w:rsid w:val="00491E77"/>
    <w:pPr>
      <w:keepNext/>
      <w:spacing w:before="120" w:after="60"/>
      <w:jc w:val="center"/>
      <w:outlineLvl w:val="0"/>
    </w:pPr>
    <w:rPr>
      <w:rFonts w:ascii="Arial" w:hAnsi="Arial"/>
      <w:b/>
      <w:kern w:val="32"/>
      <w:sz w:val="32"/>
    </w:rPr>
  </w:style>
  <w:style w:type="paragraph" w:styleId="Heading2">
    <w:name w:val="heading 2"/>
    <w:aliases w:val="IATED-Subsection"/>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aliases w:val="IATED-Subsubsection"/>
    <w:next w:val="Normal"/>
    <w:link w:val="Heading3Char"/>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053789"/>
    <w:pPr>
      <w:keepNext/>
      <w:spacing w:before="120" w:after="60"/>
      <w:outlineLvl w:val="3"/>
    </w:pPr>
    <w:rPr>
      <w:rFonts w:ascii="Arial" w:hAnsi="Arial"/>
      <w:b/>
      <w:i/>
      <w:noProof/>
    </w:rPr>
  </w:style>
  <w:style w:type="paragraph" w:styleId="Heading5">
    <w:name w:val="heading 5"/>
    <w:next w:val="Normal"/>
    <w:link w:val="Heading5Char"/>
    <w:qFormat/>
    <w:rsid w:val="00053789"/>
    <w:pPr>
      <w:keepNext/>
      <w:spacing w:before="40" w:after="40"/>
      <w:jc w:val="center"/>
      <w:outlineLvl w:val="4"/>
    </w:pPr>
    <w:rPr>
      <w:rFonts w:ascii="Arial" w:hAnsi="Arial"/>
      <w:b/>
    </w:rPr>
  </w:style>
  <w:style w:type="paragraph" w:styleId="Heading6">
    <w:name w:val="heading 6"/>
    <w:basedOn w:val="Normal"/>
    <w:next w:val="Normal"/>
    <w:link w:val="Heading6Char"/>
    <w:qFormat/>
    <w:rsid w:val="007600EB"/>
    <w:pPr>
      <w:keepNext/>
      <w:spacing w:after="60"/>
      <w:jc w:val="center"/>
      <w:outlineLvl w:val="5"/>
    </w:pPr>
    <w:rPr>
      <w:rFonts w:ascii="Arial" w:hAnsi="Arial" w:cs="SimSun"/>
      <w:b/>
      <w:sz w:val="32"/>
    </w:rPr>
  </w:style>
  <w:style w:type="paragraph" w:styleId="Heading7">
    <w:name w:val="heading 7"/>
    <w:basedOn w:val="Normal"/>
    <w:next w:val="Normal"/>
    <w:link w:val="Heading7Char"/>
    <w:qFormat/>
    <w:rsid w:val="007600EB"/>
    <w:pPr>
      <w:spacing w:before="240" w:after="60"/>
      <w:ind w:left="1296" w:hanging="1296"/>
      <w:jc w:val="both"/>
      <w:outlineLvl w:val="6"/>
    </w:pPr>
    <w:rPr>
      <w:rFonts w:ascii="Arial" w:hAnsi="Arial"/>
      <w:b/>
      <w:szCs w:val="24"/>
      <w:lang w:eastAsia="es-ES"/>
    </w:rPr>
  </w:style>
  <w:style w:type="paragraph" w:styleId="Heading8">
    <w:name w:val="heading 8"/>
    <w:basedOn w:val="Normal"/>
    <w:next w:val="Normal"/>
    <w:link w:val="Heading8Char"/>
    <w:unhideWhenUsed/>
    <w:qFormat/>
    <w:rsid w:val="00053789"/>
    <w:pPr>
      <w:keepNext/>
      <w:keepLines/>
      <w:spacing w:before="200" w:after="0"/>
      <w:jc w:val="center"/>
      <w:outlineLvl w:val="7"/>
    </w:pPr>
    <w:rPr>
      <w:rFonts w:ascii="Arial" w:eastAsiaTheme="majorEastAsia" w:hAnsi="Arial" w:cstheme="majorBidi"/>
      <w:b/>
      <w:color w:val="404040" w:themeColor="text1" w:themeTint="BF"/>
      <w:sz w:val="18"/>
    </w:rPr>
  </w:style>
  <w:style w:type="paragraph" w:styleId="Heading9">
    <w:name w:val="heading 9"/>
    <w:basedOn w:val="Normal"/>
    <w:next w:val="Normal"/>
    <w:link w:val="Heading9Char"/>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ATED-Section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aliases w:val="IATED-Subsection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aliases w:val="IATED-Subsubsection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053789"/>
    <w:rPr>
      <w:rFonts w:ascii="Arial" w:hAnsi="Arial"/>
      <w:b/>
      <w:i/>
      <w:noProof/>
    </w:rPr>
  </w:style>
  <w:style w:type="character" w:customStyle="1" w:styleId="Heading5Char">
    <w:name w:val="Heading 5 Char"/>
    <w:basedOn w:val="DefaultParagraphFont"/>
    <w:link w:val="Heading5"/>
    <w:rsid w:val="00053789"/>
    <w:rPr>
      <w:rFonts w:ascii="Arial" w:hAnsi="Arial"/>
      <w:b/>
    </w:rPr>
  </w:style>
  <w:style w:type="character" w:customStyle="1" w:styleId="Heading6Char">
    <w:name w:val="Heading 6 Char"/>
    <w:basedOn w:val="DefaultParagraphFont"/>
    <w:link w:val="Heading6"/>
    <w:rsid w:val="007600EB"/>
    <w:rPr>
      <w:rFonts w:ascii="Arial" w:hAnsi="Arial" w:cs="SimSun"/>
      <w:b/>
      <w:sz w:val="32"/>
    </w:rPr>
  </w:style>
  <w:style w:type="character" w:customStyle="1" w:styleId="Heading8Char">
    <w:name w:val="Heading 8 Char"/>
    <w:basedOn w:val="DefaultParagraphFont"/>
    <w:link w:val="Heading8"/>
    <w:rsid w:val="00053789"/>
    <w:rPr>
      <w:rFonts w:ascii="Arial" w:eastAsiaTheme="majorEastAsia" w:hAnsi="Arial" w:cstheme="majorBidi"/>
      <w:b/>
      <w:color w:val="404040" w:themeColor="text1" w:themeTint="BF"/>
      <w:sz w:val="18"/>
    </w:rPr>
  </w:style>
  <w:style w:type="character" w:customStyle="1" w:styleId="Heading9Char">
    <w:name w:val="Heading 9 Char"/>
    <w:basedOn w:val="DefaultParagraphFont"/>
    <w:link w:val="Heading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unhideWhenUsed/>
    <w:rsid w:val="00604852"/>
    <w:rPr>
      <w:i/>
      <w:iCs/>
    </w:rPr>
  </w:style>
  <w:style w:type="character" w:customStyle="1" w:styleId="DocumentMapChar">
    <w:name w:val="Document Map Char"/>
    <w:basedOn w:val="DefaultParagraphFont"/>
    <w:link w:val="DocumentMap"/>
    <w:rsid w:val="00604852"/>
    <w:rPr>
      <w:rFonts w:ascii="Tahoma" w:hAnsi="Tahoma" w:cs="Tahoma"/>
      <w:sz w:val="16"/>
      <w:szCs w:val="16"/>
    </w:rPr>
  </w:style>
  <w:style w:type="paragraph" w:styleId="DocumentMap">
    <w:name w:val="Document Map"/>
    <w:basedOn w:val="Normal"/>
    <w:link w:val="DocumentMapChar"/>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aliases w:val="IATED-Title"/>
    <w:basedOn w:val="Normal"/>
    <w:link w:val="TitleChar"/>
    <w:rsid w:val="00604852"/>
    <w:pPr>
      <w:jc w:val="center"/>
      <w:outlineLvl w:val="0"/>
    </w:pPr>
    <w:rPr>
      <w:rFonts w:ascii="Arial" w:hAnsi="Arial"/>
      <w:b/>
      <w:kern w:val="28"/>
      <w:sz w:val="36"/>
      <w:szCs w:val="32"/>
    </w:rPr>
  </w:style>
  <w:style w:type="character" w:customStyle="1" w:styleId="TitleChar">
    <w:name w:val="Title Char"/>
    <w:aliases w:val="IATED-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semiHidden/>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character" w:customStyle="1" w:styleId="Heading7Char">
    <w:name w:val="Heading 7 Char"/>
    <w:basedOn w:val="DefaultParagraphFont"/>
    <w:link w:val="Heading7"/>
    <w:rsid w:val="007600EB"/>
    <w:rPr>
      <w:rFonts w:ascii="Arial" w:hAnsi="Arial"/>
      <w:b/>
      <w:sz w:val="22"/>
      <w:szCs w:val="24"/>
      <w:lang w:eastAsia="es-ES"/>
    </w:rPr>
  </w:style>
  <w:style w:type="character" w:customStyle="1" w:styleId="DocumentMapChar1">
    <w:name w:val="Document Map Char1"/>
    <w:uiPriority w:val="99"/>
    <w:semiHidden/>
    <w:rsid w:val="007600EB"/>
    <w:rPr>
      <w:rFonts w:ascii="Segoe UI" w:eastAsia="Times New Roman" w:hAnsi="Segoe UI" w:cs="Segoe UI"/>
      <w:sz w:val="16"/>
      <w:szCs w:val="16"/>
    </w:rPr>
  </w:style>
  <w:style w:type="character" w:customStyle="1" w:styleId="NoSpacingChar">
    <w:name w:val="No Spacing Char"/>
    <w:link w:val="NoSpacing"/>
    <w:uiPriority w:val="1"/>
    <w:rsid w:val="007600EB"/>
    <w:rPr>
      <w:rFonts w:ascii="Calibri" w:eastAsia="Calibri" w:hAnsi="Calibri" w:cs="Arial"/>
    </w:rPr>
  </w:style>
  <w:style w:type="paragraph" w:customStyle="1" w:styleId="alphabet">
    <w:name w:val="alphabet"/>
    <w:basedOn w:val="Normal"/>
    <w:rsid w:val="007600EB"/>
    <w:pPr>
      <w:spacing w:before="100" w:beforeAutospacing="1" w:after="100" w:afterAutospacing="1"/>
    </w:pPr>
    <w:rPr>
      <w:rFonts w:ascii="Tahoma" w:hAnsi="Tahoma" w:cs="Tahoma"/>
      <w:sz w:val="28"/>
      <w:szCs w:val="28"/>
    </w:rPr>
  </w:style>
  <w:style w:type="paragraph" w:customStyle="1" w:styleId="citation">
    <w:name w:val="citation"/>
    <w:basedOn w:val="Normal"/>
    <w:rsid w:val="007600EB"/>
    <w:pPr>
      <w:spacing w:before="100" w:beforeAutospacing="1" w:after="100" w:afterAutospacing="1"/>
    </w:pPr>
    <w:rPr>
      <w:rFonts w:ascii="Times New Roman" w:hAnsi="Times New Roman"/>
      <w:sz w:val="24"/>
      <w:szCs w:val="24"/>
      <w:lang w:val="en-ZA" w:eastAsia="en-ZA"/>
    </w:rPr>
  </w:style>
  <w:style w:type="paragraph" w:customStyle="1" w:styleId="IATED-PaperTitle">
    <w:name w:val="IATED-Paper Title"/>
    <w:next w:val="IATED-Authors"/>
    <w:rsid w:val="007600EB"/>
    <w:pPr>
      <w:spacing w:before="240" w:after="240"/>
      <w:jc w:val="center"/>
    </w:pPr>
    <w:rPr>
      <w:rFonts w:ascii="Arial" w:hAnsi="Arial" w:cs="Arial"/>
      <w:b/>
      <w:bCs/>
      <w:caps/>
      <w:sz w:val="28"/>
      <w:szCs w:val="24"/>
      <w:lang w:eastAsia="es-ES"/>
    </w:rPr>
  </w:style>
  <w:style w:type="paragraph" w:customStyle="1" w:styleId="IATED-Authors">
    <w:name w:val="IATED-Authors"/>
    <w:next w:val="IATED-Affiliation"/>
    <w:rsid w:val="007600EB"/>
    <w:pPr>
      <w:spacing w:after="120"/>
      <w:jc w:val="center"/>
    </w:pPr>
    <w:rPr>
      <w:rFonts w:ascii="Arial" w:hAnsi="Arial" w:cs="Arial"/>
      <w:b/>
      <w:bCs/>
      <w:sz w:val="24"/>
      <w:szCs w:val="24"/>
      <w:lang w:eastAsia="es-ES"/>
    </w:rPr>
  </w:style>
  <w:style w:type="paragraph" w:customStyle="1" w:styleId="IATED-Affiliation">
    <w:name w:val="IATED-Affiliation"/>
    <w:rsid w:val="007600EB"/>
    <w:pPr>
      <w:jc w:val="center"/>
    </w:pPr>
    <w:rPr>
      <w:rFonts w:ascii="Arial" w:hAnsi="Arial" w:cs="Arial"/>
      <w:i/>
      <w:sz w:val="22"/>
      <w:szCs w:val="24"/>
      <w:lang w:eastAsia="es-ES"/>
    </w:rPr>
  </w:style>
  <w:style w:type="paragraph" w:customStyle="1" w:styleId="IATED-email">
    <w:name w:val="IATED-email"/>
    <w:rsid w:val="007600EB"/>
    <w:pPr>
      <w:spacing w:after="480"/>
      <w:jc w:val="center"/>
    </w:pPr>
    <w:rPr>
      <w:rFonts w:ascii="Arial" w:hAnsi="Arial" w:cs="Arial"/>
      <w:i/>
      <w:iCs/>
      <w:sz w:val="22"/>
      <w:szCs w:val="24"/>
      <w:lang w:eastAsia="es-ES"/>
    </w:rPr>
  </w:style>
  <w:style w:type="paragraph" w:customStyle="1" w:styleId="IATED-References">
    <w:name w:val="IATED-References"/>
    <w:basedOn w:val="Title"/>
    <w:autoRedefine/>
    <w:rsid w:val="007600EB"/>
    <w:pPr>
      <w:tabs>
        <w:tab w:val="left" w:pos="567"/>
      </w:tabs>
      <w:spacing w:before="120"/>
      <w:jc w:val="left"/>
      <w:outlineLvl w:val="9"/>
    </w:pPr>
    <w:rPr>
      <w:rFonts w:cs="Adobe Caslon Pro"/>
      <w:b w:val="0"/>
      <w:bCs/>
      <w:color w:val="000000"/>
      <w:kern w:val="0"/>
      <w:sz w:val="20"/>
      <w:szCs w:val="20"/>
      <w:lang w:eastAsia="es-ES"/>
    </w:rPr>
  </w:style>
  <w:style w:type="paragraph" w:customStyle="1" w:styleId="MsDefault">
    <w:name w:val="Ms Default"/>
    <w:basedOn w:val="Normal"/>
    <w:rsid w:val="007600EB"/>
    <w:pPr>
      <w:widowControl w:val="0"/>
      <w:shd w:val="clear" w:color="auto" w:fill="FFFFFF"/>
      <w:autoSpaceDE w:val="0"/>
      <w:autoSpaceDN w:val="0"/>
      <w:spacing w:before="0" w:after="0"/>
      <w:textAlignment w:val="baseline"/>
    </w:pPr>
    <w:rPr>
      <w:rFonts w:ascii="Gulim" w:eastAsia="Gulim" w:hAnsi="Gulim" w:cs="Gulim"/>
      <w:color w:val="000000"/>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otago.ac.nz/courses/distance_study/pdf/distance_lit_review.pdf" TargetMode="External"/><Relationship Id="rId21" Type="http://schemas.openxmlformats.org/officeDocument/2006/relationships/image" Target="media/image6.jpeg"/><Relationship Id="rId34" Type="http://schemas.openxmlformats.org/officeDocument/2006/relationships/hyperlink" Target="http://www.irrodl.org/index.php/iredl/article/view/149/230" TargetMode="External"/><Relationship Id="rId42" Type="http://schemas.openxmlformats.org/officeDocument/2006/relationships/image" Target="media/image14.jpeg"/><Relationship Id="rId47" Type="http://schemas.openxmlformats.org/officeDocument/2006/relationships/image" Target="media/image15.jpeg"/><Relationship Id="rId50" Type="http://schemas.openxmlformats.org/officeDocument/2006/relationships/hyperlink" Target="http://www.ictliteracy.info/rf.pdf/ICTinSchools.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hyperlink" Target="http://www.irrodl.org/index.php/irrodl/article/view/890/1663" TargetMode="External"/><Relationship Id="rId38" Type="http://schemas.openxmlformats.org/officeDocument/2006/relationships/hyperlink" Target="http://projects.coe.uga.edu/epltt/index.php?title=adultlearning" TargetMode="External"/><Relationship Id="rId46" Type="http://schemas.openxmlformats.org/officeDocument/2006/relationships/hyperlink" Target="http://www.designingforlearning.info/services/writing/dlmay.ht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http://www.fnl.ch/LOBs/LOs_Public/IEEEGuide_for_Instruction.pdf" TargetMode="External"/><Relationship Id="rId41" Type="http://schemas.openxmlformats.org/officeDocument/2006/relationships/hyperlink" Target="http://www.academics"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yperlink" Target="mailto:zakariasalameh@yahoo.com" TargetMode="External"/><Relationship Id="rId37" Type="http://schemas.openxmlformats.org/officeDocument/2006/relationships/hyperlink" Target="http://eprints.uwe.ac.uk/9272/" TargetMode="External"/><Relationship Id="rId40" Type="http://schemas.openxmlformats.org/officeDocument/2006/relationships/hyperlink" Target="http://earthlab.uoi.gr/earthlab-files/article/ODPLpedagogy.pdf" TargetMode="External"/><Relationship Id="rId45" Type="http://schemas.openxmlformats.org/officeDocument/2006/relationships/chart" Target="charts/chart2.xm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kathleenbartos.blogspot.com/2007/04/introduction-in-completing-kam-ii-goal.html." TargetMode="External"/><Relationship Id="rId49" Type="http://schemas.openxmlformats.org/officeDocument/2006/relationships/hyperlink" Target="http://www.tojet.net/articles/10420.pdf"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stcsig.org/usability/newsletter/0110_measuring_with_use.html" TargetMode="External"/><Relationship Id="rId44" Type="http://schemas.openxmlformats.org/officeDocument/2006/relationships/chart" Target="charts/chart1.xml"/><Relationship Id="rId52" Type="http://schemas.openxmlformats.org/officeDocument/2006/relationships/hyperlink" Target="mailto:hamzeh.m701@yahoo.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jats.com.jo" TargetMode="External"/><Relationship Id="rId35" Type="http://schemas.openxmlformats.org/officeDocument/2006/relationships/hyperlink" Target="http://auspace.athabascau.ca:8080/dspace/bitstream/2149/2210/1/The%20Dance%20of%20technology%20and%20Pedagogy%20in%20Self%20Paced%20Instructions.docx" TargetMode="External"/><Relationship Id="rId43" Type="http://schemas.openxmlformats.org/officeDocument/2006/relationships/hyperlink" Target="mailto:bernadette.geduld@nwu.ac.za" TargetMode="External"/><Relationship Id="rId48" Type="http://schemas.openxmlformats.org/officeDocument/2006/relationships/hyperlink" Target="mailto:C.Garbett@leedsbeckett.ac.uk" TargetMode="External"/><Relationship Id="rId56" Type="http://schemas.openxmlformats.org/officeDocument/2006/relationships/theme" Target="theme/theme1.xml"/><Relationship Id="rId8" Type="http://schemas.openxmlformats.org/officeDocument/2006/relationships/hyperlink" Target="http://creativecommons.org/licenses/by-nc-sa/2.5/" TargetMode="External"/><Relationship Id="rId51" Type="http://schemas.openxmlformats.org/officeDocument/2006/relationships/hyperlink" Target="http://llt.msu.edu/vol1num1/verdugo/default.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arbet01\Documents\PAPERS\Course%20costings\DCF\Working\Spreadsheets\Total%20DCF%20analysis%20%20Mk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NPV</a:t>
            </a:r>
          </a:p>
          <a:p>
            <a:pPr>
              <a:defRPr sz="1200"/>
            </a:pPr>
            <a:r>
              <a:rPr lang="en-GB" sz="1200"/>
              <a:t>BEST CASE SCENARIO</a:t>
            </a:r>
          </a:p>
        </c:rich>
      </c:tx>
      <c:overlay val="0"/>
    </c:title>
    <c:autoTitleDeleted val="0"/>
    <c:plotArea>
      <c:layout/>
      <c:lineChart>
        <c:grouping val="standard"/>
        <c:varyColors val="0"/>
        <c:ser>
          <c:idx val="0"/>
          <c:order val="0"/>
          <c:tx>
            <c:v>NPV</c:v>
          </c:tx>
          <c:marker>
            <c:symbol val="none"/>
          </c:marker>
          <c:val>
            <c:numRef>
              <c:f>'DCF Analysis'!$F$3:$F$22</c:f>
              <c:numCache>
                <c:formatCode>"£"#,##0;[Red]\-"£"#,##0</c:formatCode>
                <c:ptCount val="20"/>
                <c:pt idx="0">
                  <c:v>-2180</c:v>
                </c:pt>
                <c:pt idx="1">
                  <c:v>4777.008842752788</c:v>
                </c:pt>
                <c:pt idx="2">
                  <c:v>10572.85659361784</c:v>
                </c:pt>
                <c:pt idx="3">
                  <c:v>5496.8802848577598</c:v>
                </c:pt>
                <c:pt idx="4">
                  <c:v>5389.0983184879997</c:v>
                </c:pt>
                <c:pt idx="5">
                  <c:v>5283.4297240078422</c:v>
                </c:pt>
                <c:pt idx="6">
                  <c:v>5179.8330627527876</c:v>
                </c:pt>
                <c:pt idx="7">
                  <c:v>5078.2677085811638</c:v>
                </c:pt>
                <c:pt idx="8">
                  <c:v>4978.693831942318</c:v>
                </c:pt>
                <c:pt idx="9">
                  <c:v>4881.0723842571742</c:v>
                </c:pt>
                <c:pt idx="10">
                  <c:v>4785.3650826050734</c:v>
                </c:pt>
                <c:pt idx="11">
                  <c:v>4691.5343947108558</c:v>
                </c:pt>
                <c:pt idx="12">
                  <c:v>4599.5435242263293</c:v>
                </c:pt>
                <c:pt idx="13">
                  <c:v>4509.3563963003226</c:v>
                </c:pt>
                <c:pt idx="14">
                  <c:v>4420.9376434316891</c:v>
                </c:pt>
                <c:pt idx="15">
                  <c:v>4334.2525915996948</c:v>
                </c:pt>
                <c:pt idx="16">
                  <c:v>4249.2672466663671</c:v>
                </c:pt>
                <c:pt idx="17">
                  <c:v>4165.9482810454583</c:v>
                </c:pt>
                <c:pt idx="18">
                  <c:v>4084.2630206328026</c:v>
                </c:pt>
                <c:pt idx="19">
                  <c:v>4004.179431992944</c:v>
                </c:pt>
              </c:numCache>
            </c:numRef>
          </c:val>
          <c:smooth val="0"/>
        </c:ser>
        <c:dLbls>
          <c:showLegendKey val="0"/>
          <c:showVal val="0"/>
          <c:showCatName val="0"/>
          <c:showSerName val="0"/>
          <c:showPercent val="0"/>
          <c:showBubbleSize val="0"/>
        </c:dLbls>
        <c:smooth val="0"/>
        <c:axId val="314229352"/>
        <c:axId val="314228568"/>
      </c:lineChart>
      <c:catAx>
        <c:axId val="314229352"/>
        <c:scaling>
          <c:orientation val="minMax"/>
        </c:scaling>
        <c:delete val="0"/>
        <c:axPos val="b"/>
        <c:numFmt formatCode="General" sourceLinked="1"/>
        <c:majorTickMark val="out"/>
        <c:minorTickMark val="none"/>
        <c:tickLblPos val="nextTo"/>
        <c:crossAx val="314228568"/>
        <c:crosses val="autoZero"/>
        <c:auto val="1"/>
        <c:lblAlgn val="ctr"/>
        <c:lblOffset val="100"/>
        <c:noMultiLvlLbl val="0"/>
      </c:catAx>
      <c:valAx>
        <c:axId val="314228568"/>
        <c:scaling>
          <c:orientation val="minMax"/>
        </c:scaling>
        <c:delete val="0"/>
        <c:axPos val="l"/>
        <c:majorGridlines/>
        <c:numFmt formatCode="&quot;£&quot;#,##0;[Red]\-&quot;£&quot;#,##0" sourceLinked="1"/>
        <c:majorTickMark val="out"/>
        <c:minorTickMark val="none"/>
        <c:tickLblPos val="nextTo"/>
        <c:crossAx val="3142293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NPV</a:t>
            </a:r>
          </a:p>
          <a:p>
            <a:pPr>
              <a:defRPr/>
            </a:pPr>
            <a:r>
              <a:rPr lang="en-GB" sz="1100"/>
              <a:t>WORST CASE SCENARIO</a:t>
            </a:r>
          </a:p>
        </c:rich>
      </c:tx>
      <c:overlay val="0"/>
    </c:title>
    <c:autoTitleDeleted val="0"/>
    <c:plotArea>
      <c:layout/>
      <c:lineChart>
        <c:grouping val="standard"/>
        <c:varyColors val="0"/>
        <c:ser>
          <c:idx val="0"/>
          <c:order val="0"/>
          <c:tx>
            <c:v>NPV</c:v>
          </c:tx>
          <c:marker>
            <c:symbol val="none"/>
          </c:marker>
          <c:val>
            <c:numRef>
              <c:f>'DCF Analysis'!$F$3:$F$22</c:f>
              <c:numCache>
                <c:formatCode>"£"#,##0_);[Red]\("£"#,##0\)</c:formatCode>
                <c:ptCount val="20"/>
                <c:pt idx="0">
                  <c:v>-15770</c:v>
                </c:pt>
                <c:pt idx="1">
                  <c:v>-5469.0503652441375</c:v>
                </c:pt>
                <c:pt idx="2">
                  <c:v>-650.20241083746077</c:v>
                </c:pt>
                <c:pt idx="3">
                  <c:v>1653.6833125874605</c:v>
                </c:pt>
                <c:pt idx="4">
                  <c:v>1621.2581495955496</c:v>
                </c:pt>
                <c:pt idx="5">
                  <c:v>1589.4687741132836</c:v>
                </c:pt>
                <c:pt idx="6">
                  <c:v>1558.3027197189058</c:v>
                </c:pt>
                <c:pt idx="7">
                  <c:v>1527.7477644302999</c:v>
                </c:pt>
                <c:pt idx="8">
                  <c:v>1497.7919259120586</c:v>
                </c:pt>
                <c:pt idx="9">
                  <c:v>1468.4234567765282</c:v>
                </c:pt>
                <c:pt idx="10">
                  <c:v>1439.6308399769885</c:v>
                </c:pt>
                <c:pt idx="11">
                  <c:v>1411.4027842911651</c:v>
                </c:pt>
                <c:pt idx="12">
                  <c:v>1383.7282198932992</c:v>
                </c:pt>
                <c:pt idx="13">
                  <c:v>1356.5962940130382</c:v>
                </c:pt>
                <c:pt idx="14">
                  <c:v>1329.9963666794495</c:v>
                </c:pt>
                <c:pt idx="15">
                  <c:v>1303.9180065484798</c:v>
                </c:pt>
                <c:pt idx="16">
                  <c:v>1278.3509868122349</c:v>
                </c:pt>
                <c:pt idx="17">
                  <c:v>1253.2852811884657</c:v>
                </c:pt>
                <c:pt idx="18">
                  <c:v>1228.7110599886919</c:v>
                </c:pt>
                <c:pt idx="19">
                  <c:v>1204.6186862634233</c:v>
                </c:pt>
              </c:numCache>
            </c:numRef>
          </c:val>
          <c:smooth val="0"/>
        </c:ser>
        <c:dLbls>
          <c:showLegendKey val="0"/>
          <c:showVal val="0"/>
          <c:showCatName val="0"/>
          <c:showSerName val="0"/>
          <c:showPercent val="0"/>
          <c:showBubbleSize val="0"/>
        </c:dLbls>
        <c:smooth val="0"/>
        <c:axId val="20434480"/>
        <c:axId val="20433304"/>
      </c:lineChart>
      <c:catAx>
        <c:axId val="20434480"/>
        <c:scaling>
          <c:orientation val="minMax"/>
        </c:scaling>
        <c:delete val="0"/>
        <c:axPos val="b"/>
        <c:majorTickMark val="out"/>
        <c:minorTickMark val="none"/>
        <c:tickLblPos val="nextTo"/>
        <c:crossAx val="20433304"/>
        <c:crosses val="autoZero"/>
        <c:auto val="1"/>
        <c:lblAlgn val="ctr"/>
        <c:lblOffset val="100"/>
        <c:noMultiLvlLbl val="0"/>
      </c:catAx>
      <c:valAx>
        <c:axId val="20433304"/>
        <c:scaling>
          <c:orientation val="minMax"/>
        </c:scaling>
        <c:delete val="0"/>
        <c:axPos val="l"/>
        <c:majorGridlines/>
        <c:numFmt formatCode="&quot;£&quot;#,##0_);[Red]\(&quot;£&quot;#,##0\)" sourceLinked="1"/>
        <c:majorTickMark val="out"/>
        <c:minorTickMark val="none"/>
        <c:tickLblPos val="nextTo"/>
        <c:crossAx val="204344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6F39-5ABE-49F1-9AE4-4ABB04371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26868</Words>
  <Characters>153153</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179662</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2</cp:revision>
  <cp:lastPrinted>2014-10-05T04:03:00Z</cp:lastPrinted>
  <dcterms:created xsi:type="dcterms:W3CDTF">2014-10-05T18:47:00Z</dcterms:created>
  <dcterms:modified xsi:type="dcterms:W3CDTF">2014-10-05T18:47:00Z</dcterms:modified>
</cp:coreProperties>
</file>