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3A" w:rsidRDefault="00C8274F" w:rsidP="00DB6BE5">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48512" behindDoc="0" locked="0" layoutInCell="1" allowOverlap="1" wp14:anchorId="56118A59" wp14:editId="79F552FE">
                <wp:simplePos x="0" y="0"/>
                <wp:positionH relativeFrom="column">
                  <wp:posOffset>1028700</wp:posOffset>
                </wp:positionH>
                <wp:positionV relativeFrom="paragraph">
                  <wp:posOffset>-457200</wp:posOffset>
                </wp:positionV>
                <wp:extent cx="3543300" cy="11430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610D0" id="Rectangle 3" o:spid="_x0000_s1026" style="position:absolute;margin-left:81pt;margin-top:-36pt;width:279pt;height: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eQegIAAPw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AWrV5B6AgAA/A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DB6BE5">
      <w:pPr>
        <w:pStyle w:val="Heading2"/>
        <w:spacing w:before="0" w:after="240"/>
        <w:rPr>
          <w:color w:val="333399"/>
          <w:sz w:val="36"/>
          <w:szCs w:val="36"/>
        </w:rPr>
      </w:pPr>
      <w:r>
        <w:rPr>
          <w:color w:val="333399"/>
          <w:sz w:val="36"/>
          <w:szCs w:val="36"/>
        </w:rPr>
        <w:t>of</w:t>
      </w:r>
    </w:p>
    <w:p w:rsidR="00101A3A" w:rsidRDefault="00101A3A" w:rsidP="00DB6BE5">
      <w:pPr>
        <w:pStyle w:val="Heading2"/>
        <w:spacing w:after="24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835BD5" w:rsidP="00DB6BE5">
      <w:pPr>
        <w:jc w:val="center"/>
        <w:rPr>
          <w:rFonts w:ascii="Arial" w:hAnsi="Arial" w:cs="Arial"/>
          <w:b/>
          <w:sz w:val="24"/>
          <w:szCs w:val="24"/>
        </w:rPr>
      </w:pPr>
      <w:r>
        <w:rPr>
          <w:rFonts w:ascii="Arial" w:hAnsi="Arial" w:cs="Arial"/>
          <w:b/>
          <w:sz w:val="32"/>
          <w:szCs w:val="32"/>
        </w:rPr>
        <w:t>February 2015</w:t>
      </w:r>
      <w:r w:rsidR="00101A3A">
        <w:rPr>
          <w:rFonts w:ascii="Arial" w:hAnsi="Arial" w:cs="Arial"/>
          <w:b/>
          <w:sz w:val="32"/>
          <w:szCs w:val="32"/>
        </w:rPr>
        <w:br/>
      </w:r>
      <w:r w:rsidR="00101A3A">
        <w:rPr>
          <w:rFonts w:ascii="Arial" w:hAnsi="Arial" w:cs="Arial"/>
          <w:b/>
          <w:sz w:val="24"/>
          <w:szCs w:val="24"/>
        </w:rPr>
        <w:t xml:space="preserve">Volume </w:t>
      </w:r>
      <w:r w:rsidR="00C30C9B">
        <w:rPr>
          <w:rFonts w:ascii="Arial" w:hAnsi="Arial" w:cs="Arial"/>
          <w:b/>
          <w:sz w:val="24"/>
          <w:szCs w:val="24"/>
        </w:rPr>
        <w:t>1</w:t>
      </w:r>
      <w:r>
        <w:rPr>
          <w:rFonts w:ascii="Arial" w:hAnsi="Arial" w:cs="Arial"/>
          <w:b/>
          <w:sz w:val="24"/>
          <w:szCs w:val="24"/>
        </w:rPr>
        <w:t>2</w:t>
      </w:r>
      <w:r w:rsidR="00101A3A">
        <w:rPr>
          <w:rFonts w:ascii="Arial" w:hAnsi="Arial" w:cs="Arial"/>
          <w:b/>
          <w:sz w:val="24"/>
          <w:szCs w:val="24"/>
        </w:rPr>
        <w:t xml:space="preserve"> Number </w:t>
      </w:r>
      <w:r>
        <w:rPr>
          <w:rFonts w:ascii="Arial" w:hAnsi="Arial" w:cs="Arial"/>
          <w:b/>
          <w:sz w:val="24"/>
          <w:szCs w:val="24"/>
        </w:rPr>
        <w:t>2</w:t>
      </w:r>
    </w:p>
    <w:p w:rsidR="00101A3A" w:rsidRDefault="00101A3A" w:rsidP="00DB6BE5">
      <w:pPr>
        <w:jc w:val="center"/>
        <w:rPr>
          <w:rFonts w:ascii="Arial" w:hAnsi="Arial" w:cs="Arial"/>
          <w:sz w:val="24"/>
          <w:szCs w:val="24"/>
        </w:rPr>
      </w:pPr>
    </w:p>
    <w:p w:rsidR="00101A3A" w:rsidRDefault="00101A3A" w:rsidP="00DB6BE5">
      <w:pPr>
        <w:jc w:val="center"/>
        <w:rPr>
          <w:rFonts w:ascii="Arial" w:hAnsi="Arial" w:cs="Arial"/>
          <w:b/>
          <w:sz w:val="24"/>
          <w:szCs w:val="24"/>
        </w:rPr>
      </w:pPr>
      <w:r>
        <w:rPr>
          <w:rFonts w:ascii="Arial" w:hAnsi="Arial" w:cs="Arial"/>
          <w:b/>
          <w:sz w:val="24"/>
          <w:szCs w:val="24"/>
        </w:rPr>
        <w:t>Editorial Board</w:t>
      </w:r>
    </w:p>
    <w:p w:rsidR="00101A3A" w:rsidRDefault="00101A3A" w:rsidP="00DB6BE5">
      <w:pPr>
        <w:jc w:val="center"/>
        <w:rPr>
          <w:rFonts w:ascii="Arial" w:hAnsi="Arial" w:cs="Arial"/>
          <w:sz w:val="24"/>
          <w:szCs w:val="24"/>
        </w:rPr>
      </w:pPr>
      <w:r>
        <w:rPr>
          <w:rFonts w:ascii="Arial" w:hAnsi="Arial" w:cs="Arial"/>
          <w:b/>
          <w:sz w:val="24"/>
          <w:szCs w:val="24"/>
        </w:rPr>
        <w:t>Donald G. Perrin Ph.D</w:t>
      </w:r>
      <w:r>
        <w:rPr>
          <w:rFonts w:ascii="Arial" w:hAnsi="Arial" w:cs="Arial"/>
          <w:sz w:val="24"/>
          <w:szCs w:val="24"/>
        </w:rPr>
        <w:t>.</w:t>
      </w:r>
      <w:r>
        <w:rPr>
          <w:rFonts w:ascii="Arial" w:hAnsi="Arial" w:cs="Arial"/>
          <w:sz w:val="24"/>
          <w:szCs w:val="24"/>
        </w:rPr>
        <w:br/>
        <w:t>Executive Editor</w:t>
      </w:r>
    </w:p>
    <w:p w:rsidR="00310E0A" w:rsidRDefault="00310E0A" w:rsidP="00310E0A">
      <w:pPr>
        <w:jc w:val="center"/>
        <w:rPr>
          <w:rFonts w:ascii="Arial" w:hAnsi="Arial" w:cs="Arial"/>
          <w:sz w:val="24"/>
          <w:szCs w:val="24"/>
        </w:rPr>
      </w:pPr>
      <w:r>
        <w:rPr>
          <w:rFonts w:ascii="Arial" w:hAnsi="Arial" w:cs="Arial"/>
          <w:b/>
          <w:sz w:val="24"/>
          <w:szCs w:val="24"/>
        </w:rPr>
        <w:t>Elizabeth Perrin Ph.D.</w:t>
      </w:r>
      <w:r>
        <w:rPr>
          <w:rFonts w:ascii="Arial" w:hAnsi="Arial" w:cs="Arial"/>
          <w:b/>
          <w:sz w:val="24"/>
          <w:szCs w:val="24"/>
        </w:rPr>
        <w:br/>
      </w:r>
      <w:r>
        <w:rPr>
          <w:rFonts w:ascii="Arial" w:hAnsi="Arial" w:cs="Arial"/>
          <w:sz w:val="24"/>
          <w:szCs w:val="24"/>
        </w:rPr>
        <w:t>Editor-in-Chief</w:t>
      </w:r>
    </w:p>
    <w:p w:rsidR="00101A3A" w:rsidRDefault="00101A3A" w:rsidP="00DB6BE5">
      <w:pPr>
        <w:jc w:val="center"/>
        <w:rPr>
          <w:rFonts w:ascii="Arial" w:hAnsi="Arial" w:cs="Arial"/>
          <w:sz w:val="24"/>
          <w:szCs w:val="24"/>
        </w:rPr>
      </w:pPr>
      <w:r>
        <w:rPr>
          <w:rFonts w:ascii="Arial" w:hAnsi="Arial" w:cs="Arial"/>
          <w:b/>
          <w:sz w:val="24"/>
          <w:szCs w:val="24"/>
        </w:rPr>
        <w:t>Brent Muirhead Ph.D.</w:t>
      </w:r>
      <w:r>
        <w:rPr>
          <w:rFonts w:ascii="Arial" w:hAnsi="Arial" w:cs="Arial"/>
          <w:b/>
          <w:sz w:val="24"/>
          <w:szCs w:val="24"/>
        </w:rPr>
        <w:br/>
      </w:r>
      <w:r>
        <w:rPr>
          <w:rFonts w:ascii="Arial" w:hAnsi="Arial" w:cs="Arial"/>
          <w:sz w:val="24"/>
          <w:szCs w:val="24"/>
        </w:rPr>
        <w:t>Senior Editor</w:t>
      </w:r>
    </w:p>
    <w:p w:rsidR="00101A3A" w:rsidRDefault="00101A3A" w:rsidP="00DB6BE5">
      <w:pPr>
        <w:jc w:val="center"/>
        <w:rPr>
          <w:rFonts w:ascii="Arial" w:hAnsi="Arial" w:cs="Arial"/>
          <w:b/>
          <w:sz w:val="24"/>
          <w:szCs w:val="24"/>
        </w:rPr>
      </w:pPr>
      <w:r w:rsidRPr="000253F7">
        <w:rPr>
          <w:rFonts w:ascii="Arial" w:hAnsi="Arial" w:cs="Arial"/>
          <w:b/>
          <w:sz w:val="24"/>
          <w:szCs w:val="24"/>
        </w:rPr>
        <w:t>Muhammad Betz, Ph.D.</w:t>
      </w:r>
      <w:r>
        <w:rPr>
          <w:rFonts w:ascii="Arial" w:hAnsi="Arial" w:cs="Arial"/>
          <w:sz w:val="24"/>
          <w:szCs w:val="24"/>
        </w:rPr>
        <w:br/>
        <w:t>Editor</w:t>
      </w:r>
    </w:p>
    <w:p w:rsidR="00101A3A" w:rsidRDefault="00101A3A" w:rsidP="00DB6BE5">
      <w:pPr>
        <w:jc w:val="center"/>
        <w:rPr>
          <w:rFonts w:ascii="Arial" w:hAnsi="Arial" w:cs="Arial"/>
          <w:sz w:val="24"/>
          <w:szCs w:val="24"/>
        </w:rPr>
      </w:pPr>
    </w:p>
    <w:p w:rsidR="00101A3A" w:rsidRDefault="00101A3A" w:rsidP="00DB6BE5">
      <w:pPr>
        <w:jc w:val="center"/>
        <w:rPr>
          <w:b/>
        </w:rPr>
      </w:pPr>
      <w:bookmarkStart w:id="0" w:name="_IN_THIS_ISSUE_-_APRIL_2003"/>
      <w:bookmarkStart w:id="1" w:name="_ISSN_1537-5080_"/>
      <w:bookmarkEnd w:id="0"/>
      <w:bookmarkEnd w:id="1"/>
      <w:r>
        <w:rPr>
          <w:rFonts w:ascii="Arial" w:hAnsi="Arial" w:cs="Arial"/>
          <w:b/>
          <w:sz w:val="24"/>
          <w:szCs w:val="24"/>
        </w:rPr>
        <w:t>ISSN 1550-6908</w:t>
      </w:r>
      <w:r>
        <w:rPr>
          <w:b/>
        </w:rPr>
        <w:br w:type="page"/>
      </w:r>
    </w:p>
    <w:p w:rsidR="00101A3A" w:rsidRDefault="00101A3A" w:rsidP="00DB6BE5"/>
    <w:p w:rsidR="00101A3A" w:rsidRDefault="00101A3A" w:rsidP="00DB6BE5"/>
    <w:p w:rsidR="00101A3A" w:rsidRDefault="00101A3A" w:rsidP="00DB6BE5"/>
    <w:p w:rsidR="00101A3A" w:rsidRDefault="00101A3A" w:rsidP="00DB6BE5"/>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C8274F" w:rsidP="00DB6BE5">
            <w:pPr>
              <w:pStyle w:val="Heading2"/>
              <w:rPr>
                <w:szCs w:val="24"/>
              </w:rPr>
            </w:pPr>
            <w:r>
              <mc:AlternateContent>
                <mc:Choice Requires="wps">
                  <w:drawing>
                    <wp:anchor distT="0" distB="0" distL="114300" distR="114300" simplePos="0" relativeHeight="251647488" behindDoc="0" locked="0" layoutInCell="1" allowOverlap="1" wp14:anchorId="537DD23C" wp14:editId="1CF71A4C">
                      <wp:simplePos x="0" y="0"/>
                      <wp:positionH relativeFrom="column">
                        <wp:posOffset>-78105</wp:posOffset>
                      </wp:positionH>
                      <wp:positionV relativeFrom="paragraph">
                        <wp:posOffset>57150</wp:posOffset>
                      </wp:positionV>
                      <wp:extent cx="4201795" cy="5125085"/>
                      <wp:effectExtent l="0" t="0" r="27305" b="1841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5125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1D6C5" id="Rectangle 2" o:spid="_x0000_s1026" style="position:absolute;margin-left:-6.15pt;margin-top:4.5pt;width:330.85pt;height:40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" filled="f"/>
                  </w:pict>
                </mc:Fallback>
              </mc:AlternateContent>
            </w:r>
            <w:r w:rsidR="00101A3A">
              <w:rPr>
                <w:szCs w:val="24"/>
              </w:rPr>
              <w:t>PUBLISHER'S DECLARATION</w:t>
            </w:r>
          </w:p>
        </w:tc>
      </w:tr>
      <w:tr w:rsidR="00101A3A" w:rsidTr="00DB6BE5">
        <w:trPr>
          <w:tblCellSpacing w:w="15" w:type="dxa"/>
          <w:jc w:val="center"/>
        </w:trPr>
        <w:tc>
          <w:tcPr>
            <w:tcW w:w="6488" w:type="dxa"/>
            <w:vAlign w:val="center"/>
          </w:tcPr>
          <w:p w:rsidR="00101A3A" w:rsidRDefault="00101A3A" w:rsidP="00DB6BE5">
            <w:pPr>
              <w:spacing w:before="120" w:line="240" w:lineRule="atLeast"/>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rsidR="00101A3A" w:rsidRDefault="00101A3A" w:rsidP="00DB6BE5">
            <w:pPr>
              <w:spacing w:before="120" w:line="240" w:lineRule="atLeast"/>
              <w:rPr>
                <w:color w:val="000000"/>
                <w:sz w:val="20"/>
              </w:rPr>
            </w:pPr>
            <w:r>
              <w:rPr>
                <w:rFonts w:ascii="Verdana" w:hAnsi="Verdana"/>
                <w:color w:val="000000"/>
                <w:sz w:val="20"/>
              </w:rPr>
              <w:t xml:space="preserve">The Journal is monthly, refereed, and global. Intellectual property rights are retained by the author(s) and a </w:t>
            </w:r>
            <w:hyperlink r:id="rId8" w:history="1">
              <w:r w:rsidR="008351D5">
                <w:rPr>
                  <w:rFonts w:ascii="Verdana" w:hAnsi="Verdana"/>
                  <w:sz w:val="20"/>
                </w:rPr>
                <w:t xml:space="preserve">Creative Commons </w:t>
              </w:r>
              <w:r w:rsidRPr="000C6A32">
                <w:rPr>
                  <w:rFonts w:ascii="Verdana" w:hAnsi="Verdana"/>
                  <w:sz w:val="20"/>
                </w:rPr>
                <w:t>Copyright</w:t>
              </w:r>
            </w:hyperlink>
            <w:r>
              <w:rPr>
                <w:rFonts w:ascii="Verdana" w:hAnsi="Verdana"/>
                <w:color w:val="000000"/>
                <w:sz w:val="20"/>
              </w:rPr>
              <w:t xml:space="preserve"> permits replication of articles and eBooks for education related purposes. Publication is managed by </w:t>
            </w:r>
            <w:r w:rsidR="008351D5">
              <w:rPr>
                <w:rFonts w:ascii="Verdana" w:hAnsi="Verdana"/>
                <w:color w:val="000000"/>
                <w:sz w:val="20"/>
              </w:rPr>
              <w:t>DonEl</w:t>
            </w:r>
            <w:r>
              <w:rPr>
                <w:rFonts w:ascii="Verdana" w:hAnsi="Verdana"/>
                <w:color w:val="000000"/>
                <w:sz w:val="20"/>
              </w:rPr>
              <w:t xml:space="preserve"> Learning Inc. supported by a host of volunteer editors, referees and production staff that cross national boundaries.</w:t>
            </w:r>
          </w:p>
          <w:p w:rsidR="00101A3A" w:rsidRDefault="00101A3A" w:rsidP="00DB6BE5">
            <w:pPr>
              <w:spacing w:before="120" w:line="240" w:lineRule="atLeast"/>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rsidR="00E97F3C" w:rsidRDefault="00892517" w:rsidP="00E97F3C">
            <w:pPr>
              <w:spacing w:before="120" w:line="240" w:lineRule="atLeast"/>
              <w:rPr>
                <w:rFonts w:ascii="Verdana" w:hAnsi="Verdana"/>
                <w:color w:val="000000"/>
                <w:sz w:val="20"/>
              </w:rPr>
            </w:pPr>
            <w:r>
              <w:rPr>
                <w:rFonts w:ascii="Verdana" w:hAnsi="Verdana"/>
                <w:color w:val="000000"/>
                <w:sz w:val="20"/>
              </w:rPr>
              <w:t>In its first decade, the Journal published more than 600 articles; 7,500 pages of research and theory by over 1,000 authors. It logged over ten million page views and more than a million downloads of Acrobat files of monthly journals and eBooks. Many authors benefited from refereed publication for retention, promotion, tenure, and advancement in their profession</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Donald G. Perrin, Executive Editor</w:t>
            </w:r>
          </w:p>
          <w:p w:rsidR="00821D5A" w:rsidRDefault="00821D5A" w:rsidP="00821D5A">
            <w:pPr>
              <w:spacing w:before="40" w:after="40" w:line="240" w:lineRule="atLeast"/>
              <w:ind w:left="720"/>
              <w:rPr>
                <w:rFonts w:ascii="Arial" w:hAnsi="Arial" w:cs="Arial"/>
                <w:color w:val="000000"/>
                <w:sz w:val="20"/>
              </w:rPr>
            </w:pPr>
            <w:r>
              <w:rPr>
                <w:rFonts w:ascii="Arial" w:hAnsi="Arial" w:cs="Arial"/>
                <w:color w:val="000000"/>
                <w:sz w:val="20"/>
              </w:rPr>
              <w:t>Elizabeth Perrin, Editor in Chief</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Brent Muirhead, Senior Editor</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Muhammad Betz, Editor </w:t>
            </w:r>
          </w:p>
          <w:p w:rsidR="00101A3A" w:rsidRPr="000C6A32" w:rsidRDefault="00101A3A" w:rsidP="00821D5A">
            <w:pPr>
              <w:spacing w:before="40" w:after="40" w:line="240" w:lineRule="atLeast"/>
              <w:ind w:left="720"/>
              <w:rPr>
                <w:rFonts w:ascii="Verdana" w:hAnsi="Verdana" w:cs="Arial"/>
                <w:color w:val="000000"/>
                <w:sz w:val="20"/>
              </w:rPr>
            </w:pPr>
          </w:p>
        </w:tc>
      </w:tr>
    </w:tbl>
    <w:p w:rsidR="00101A3A" w:rsidRDefault="00101A3A" w:rsidP="00DB6BE5">
      <w:pPr>
        <w:pStyle w:val="Heading6"/>
        <w:spacing w:before="0" w:after="0"/>
        <w:jc w:val="left"/>
      </w:pPr>
      <w:r>
        <w:rPr>
          <w:bCs/>
          <w:sz w:val="20"/>
        </w:rPr>
        <w:br w:type="page"/>
      </w:r>
      <w:bookmarkStart w:id="2" w:name="TOC"/>
      <w:r w:rsidR="00A65BA5">
        <w:rPr>
          <w:noProof/>
        </w:rPr>
        <w:lastRenderedPageBreak/>
        <w:drawing>
          <wp:inline distT="0" distB="0" distL="0" distR="0" wp14:anchorId="4EB8888F" wp14:editId="185BC392">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DB6BE5">
      <w:pPr>
        <w:jc w:val="center"/>
        <w:rPr>
          <w:rFonts w:ascii="Arial" w:hAnsi="Arial" w:cs="Arial"/>
          <w:b/>
          <w:sz w:val="8"/>
          <w:szCs w:val="8"/>
        </w:rPr>
      </w:pPr>
    </w:p>
    <w:p w:rsidR="00101A3A" w:rsidRDefault="00101A3A" w:rsidP="00DB6BE5">
      <w:pPr>
        <w:jc w:val="center"/>
        <w:rPr>
          <w:rFonts w:ascii="Arial" w:hAnsi="Arial" w:cs="Arial"/>
          <w:b/>
          <w:sz w:val="24"/>
          <w:szCs w:val="24"/>
        </w:rPr>
      </w:pPr>
      <w:r>
        <w:rPr>
          <w:rFonts w:ascii="Arial" w:hAnsi="Arial" w:cs="Arial"/>
          <w:b/>
          <w:sz w:val="24"/>
          <w:szCs w:val="24"/>
        </w:rPr>
        <w:t xml:space="preserve">Vol. </w:t>
      </w:r>
      <w:r w:rsidR="00C30C9B">
        <w:rPr>
          <w:rFonts w:ascii="Arial" w:hAnsi="Arial" w:cs="Arial"/>
          <w:b/>
          <w:sz w:val="24"/>
          <w:szCs w:val="24"/>
        </w:rPr>
        <w:t>1</w:t>
      </w:r>
      <w:r w:rsidR="00C52C68">
        <w:rPr>
          <w:rFonts w:ascii="Arial" w:hAnsi="Arial" w:cs="Arial"/>
          <w:b/>
          <w:sz w:val="24"/>
          <w:szCs w:val="24"/>
        </w:rPr>
        <w:t>2</w:t>
      </w:r>
      <w:r>
        <w:rPr>
          <w:rFonts w:ascii="Arial" w:hAnsi="Arial" w:cs="Arial"/>
          <w:b/>
          <w:sz w:val="24"/>
          <w:szCs w:val="24"/>
        </w:rPr>
        <w:t xml:space="preserve">. No. </w:t>
      </w:r>
      <w:r w:rsidR="00C52C68">
        <w:rPr>
          <w:rFonts w:ascii="Arial" w:hAnsi="Arial" w:cs="Arial"/>
          <w:b/>
          <w:sz w:val="24"/>
          <w:szCs w:val="24"/>
        </w:rPr>
        <w:t>2</w:t>
      </w:r>
      <w:r>
        <w:rPr>
          <w:rFonts w:ascii="Arial" w:hAnsi="Arial" w:cs="Arial"/>
          <w:b/>
          <w:sz w:val="24"/>
          <w:szCs w:val="24"/>
        </w:rPr>
        <w:t>.</w:t>
      </w:r>
    </w:p>
    <w:p w:rsidR="00101A3A" w:rsidRDefault="00101A3A" w:rsidP="00DB6BE5">
      <w:pPr>
        <w:jc w:val="center"/>
        <w:rPr>
          <w:rFonts w:ascii="Arial" w:hAnsi="Arial" w:cs="Arial"/>
          <w:b/>
          <w:sz w:val="20"/>
        </w:rPr>
      </w:pPr>
      <w:r>
        <w:rPr>
          <w:rFonts w:ascii="Arial" w:hAnsi="Arial" w:cs="Arial"/>
          <w:b/>
          <w:sz w:val="20"/>
        </w:rPr>
        <w:t>ISSN 1550-6908</w:t>
      </w:r>
    </w:p>
    <w:p w:rsidR="00101A3A" w:rsidRPr="00583132" w:rsidRDefault="00101A3A" w:rsidP="00DB6BE5">
      <w:pPr>
        <w:pStyle w:val="Heading1"/>
        <w:rPr>
          <w:sz w:val="28"/>
          <w:szCs w:val="28"/>
        </w:rPr>
      </w:pPr>
      <w:r w:rsidRPr="00583132">
        <w:rPr>
          <w:sz w:val="28"/>
          <w:szCs w:val="28"/>
        </w:rPr>
        <w:t xml:space="preserve">Table of Contents – </w:t>
      </w:r>
      <w:r w:rsidR="00C52C68">
        <w:rPr>
          <w:sz w:val="28"/>
          <w:szCs w:val="28"/>
        </w:rPr>
        <w:t>February 2015</w:t>
      </w:r>
    </w:p>
    <w:tbl>
      <w:tblPr>
        <w:tblW w:w="8856" w:type="dxa"/>
        <w:tblLayout w:type="fixed"/>
        <w:tblLook w:val="04A0" w:firstRow="1" w:lastRow="0" w:firstColumn="1" w:lastColumn="0" w:noHBand="0" w:noVBand="1"/>
      </w:tblPr>
      <w:tblGrid>
        <w:gridCol w:w="7938"/>
        <w:gridCol w:w="918"/>
      </w:tblGrid>
      <w:tr w:rsidR="008F6FB1" w:rsidRPr="00807D9E" w:rsidTr="00745EBD">
        <w:tc>
          <w:tcPr>
            <w:tcW w:w="7938" w:type="dxa"/>
          </w:tcPr>
          <w:p w:rsidR="008F6FB1" w:rsidRPr="00807D9E" w:rsidRDefault="008F6FB1" w:rsidP="00807D9E">
            <w:pPr>
              <w:spacing w:before="0" w:after="100" w:afterAutospacing="1"/>
              <w:rPr>
                <w:rFonts w:ascii="Arial" w:hAnsi="Arial" w:cs="Arial"/>
              </w:rPr>
            </w:pPr>
          </w:p>
        </w:tc>
        <w:tc>
          <w:tcPr>
            <w:tcW w:w="918" w:type="dxa"/>
          </w:tcPr>
          <w:p w:rsidR="008F6FB1" w:rsidRPr="00807D9E" w:rsidRDefault="008F6FB1" w:rsidP="00807D9E">
            <w:pPr>
              <w:pStyle w:val="Heading5"/>
              <w:spacing w:before="0" w:after="100" w:afterAutospacing="1"/>
              <w:rPr>
                <w:rFonts w:cs="Arial"/>
              </w:rPr>
            </w:pPr>
            <w:r w:rsidRPr="00807D9E">
              <w:rPr>
                <w:rFonts w:cs="Arial"/>
              </w:rPr>
              <w:t>Page</w:t>
            </w:r>
          </w:p>
        </w:tc>
      </w:tr>
      <w:tr w:rsidR="008F6FB1" w:rsidRPr="00807D9E" w:rsidTr="002A06F9">
        <w:trPr>
          <w:trHeight w:val="288"/>
        </w:trPr>
        <w:tc>
          <w:tcPr>
            <w:tcW w:w="7938" w:type="dxa"/>
          </w:tcPr>
          <w:p w:rsidR="008F6FB1" w:rsidRPr="00807D9E" w:rsidRDefault="002A06F9" w:rsidP="00F374B7">
            <w:pPr>
              <w:pStyle w:val="Heading3"/>
              <w:spacing w:before="0" w:after="0"/>
            </w:pPr>
            <w:bookmarkStart w:id="3" w:name="_Editorial:_A_Paradigm"/>
            <w:bookmarkEnd w:id="3"/>
            <w:r>
              <w:br/>
            </w:r>
            <w:hyperlink w:anchor="_Editorial" w:history="1">
              <w:r w:rsidR="00642617" w:rsidRPr="00F374B7">
                <w:rPr>
                  <w:rStyle w:val="Hyperlink"/>
                </w:rPr>
                <w:t>Editorial</w:t>
              </w:r>
              <w:r w:rsidR="00E33B31" w:rsidRPr="00F374B7">
                <w:rPr>
                  <w:rStyle w:val="Hyperlink"/>
                </w:rPr>
                <w:t xml:space="preserve">: </w:t>
              </w:r>
              <w:r w:rsidR="00B477C7" w:rsidRPr="00F374B7">
                <w:rPr>
                  <w:rStyle w:val="Hyperlink"/>
                </w:rPr>
                <w:t xml:space="preserve">A </w:t>
              </w:r>
              <w:r w:rsidR="0081286F" w:rsidRPr="00F374B7">
                <w:rPr>
                  <w:rStyle w:val="Hyperlink"/>
                </w:rPr>
                <w:t>Paradigm Shift</w:t>
              </w:r>
            </w:hyperlink>
            <w:r w:rsidR="00F374B7" w:rsidRPr="00807D9E">
              <w:t xml:space="preserve"> </w:t>
            </w:r>
          </w:p>
        </w:tc>
        <w:tc>
          <w:tcPr>
            <w:tcW w:w="918" w:type="dxa"/>
          </w:tcPr>
          <w:p w:rsidR="008F6FB1" w:rsidRPr="00E00A21" w:rsidRDefault="00642617" w:rsidP="002A06F9">
            <w:pPr>
              <w:pStyle w:val="Heading3"/>
              <w:spacing w:before="0" w:after="0"/>
              <w:rPr>
                <w:szCs w:val="24"/>
              </w:rPr>
            </w:pPr>
            <w:r w:rsidRPr="00E00A21">
              <w:rPr>
                <w:szCs w:val="24"/>
              </w:rPr>
              <w:t>1</w:t>
            </w:r>
          </w:p>
        </w:tc>
      </w:tr>
      <w:tr w:rsidR="00745EBD" w:rsidRPr="00807D9E" w:rsidTr="00745EBD">
        <w:tc>
          <w:tcPr>
            <w:tcW w:w="7938" w:type="dxa"/>
          </w:tcPr>
          <w:p w:rsidR="00745EBD" w:rsidRPr="002A06F9" w:rsidRDefault="00745EBD" w:rsidP="002A06F9">
            <w:pPr>
              <w:spacing w:before="0" w:after="0"/>
              <w:rPr>
                <w:rFonts w:ascii="Arial" w:hAnsi="Arial" w:cs="Arial"/>
              </w:rPr>
            </w:pPr>
            <w:r w:rsidRPr="002A06F9">
              <w:rPr>
                <w:rFonts w:ascii="Arial" w:hAnsi="Arial" w:cs="Arial"/>
              </w:rPr>
              <w:t>Donald G. Perrin</w:t>
            </w:r>
            <w:r w:rsidRPr="002A06F9">
              <w:rPr>
                <w:rFonts w:ascii="Arial" w:hAnsi="Arial" w:cs="Arial"/>
              </w:rPr>
              <w:br/>
            </w:r>
          </w:p>
        </w:tc>
        <w:tc>
          <w:tcPr>
            <w:tcW w:w="918" w:type="dxa"/>
          </w:tcPr>
          <w:p w:rsidR="00745EBD" w:rsidRPr="00E00A21" w:rsidRDefault="00745EBD" w:rsidP="002A06F9">
            <w:pPr>
              <w:pStyle w:val="Heading5"/>
              <w:spacing w:before="0" w:after="0"/>
              <w:rPr>
                <w:rFonts w:cs="Arial"/>
                <w:sz w:val="24"/>
                <w:szCs w:val="24"/>
              </w:rPr>
            </w:pPr>
          </w:p>
        </w:tc>
      </w:tr>
      <w:tr w:rsidR="008F6FB1" w:rsidRPr="00807D9E" w:rsidTr="00745EBD">
        <w:tc>
          <w:tcPr>
            <w:tcW w:w="7938" w:type="dxa"/>
          </w:tcPr>
          <w:p w:rsidR="008F6FB1" w:rsidRPr="00E00A21" w:rsidRDefault="009557B1" w:rsidP="002A06F9">
            <w:pPr>
              <w:pStyle w:val="Heading3"/>
              <w:spacing w:before="0" w:after="0"/>
              <w:rPr>
                <w:lang w:bidi="ar-JO"/>
              </w:rPr>
            </w:pPr>
            <w:hyperlink w:anchor="_Analyzing_Twitter’s_impact" w:history="1">
              <w:r w:rsidR="006F6B89" w:rsidRPr="00F374B7">
                <w:rPr>
                  <w:rStyle w:val="Hyperlink"/>
                </w:rPr>
                <w:t xml:space="preserve">Analyzing Twitter’s impact on student engagement </w:t>
              </w:r>
              <w:r w:rsidR="006F6B89" w:rsidRPr="00F374B7">
                <w:rPr>
                  <w:rStyle w:val="Hyperlink"/>
                </w:rPr>
                <w:br/>
                <w:t>in college instruction</w:t>
              </w:r>
            </w:hyperlink>
          </w:p>
        </w:tc>
        <w:tc>
          <w:tcPr>
            <w:tcW w:w="918" w:type="dxa"/>
          </w:tcPr>
          <w:p w:rsidR="008F6FB1" w:rsidRPr="00E00A21" w:rsidRDefault="00F374B7" w:rsidP="002A06F9">
            <w:pPr>
              <w:pStyle w:val="Heading3"/>
              <w:spacing w:before="0" w:after="0"/>
              <w:rPr>
                <w:rFonts w:cs="Arial"/>
                <w:szCs w:val="24"/>
              </w:rPr>
            </w:pPr>
            <w:r>
              <w:rPr>
                <w:rFonts w:cs="Arial"/>
                <w:szCs w:val="24"/>
              </w:rPr>
              <w:t>3</w:t>
            </w:r>
          </w:p>
        </w:tc>
      </w:tr>
      <w:tr w:rsidR="008F6FB1" w:rsidRPr="002A06F9" w:rsidTr="00745EBD">
        <w:tc>
          <w:tcPr>
            <w:tcW w:w="7938" w:type="dxa"/>
          </w:tcPr>
          <w:p w:rsidR="003E094E" w:rsidRPr="002A06F9" w:rsidRDefault="006F6B89" w:rsidP="002A06F9">
            <w:pPr>
              <w:spacing w:before="0" w:after="0"/>
              <w:rPr>
                <w:rFonts w:ascii="Arial" w:hAnsi="Arial" w:cs="Arial"/>
              </w:rPr>
            </w:pPr>
            <w:r w:rsidRPr="002A06F9">
              <w:rPr>
                <w:rFonts w:ascii="Arial" w:hAnsi="Arial" w:cs="Arial"/>
                <w:szCs w:val="22"/>
              </w:rPr>
              <w:t>Armand Buzzelli</w:t>
            </w:r>
            <w:r w:rsidR="008C589D">
              <w:rPr>
                <w:rFonts w:ascii="Arial" w:hAnsi="Arial" w:cs="Arial"/>
                <w:szCs w:val="22"/>
              </w:rPr>
              <w:t xml:space="preserve">, </w:t>
            </w:r>
            <w:r w:rsidR="008C589D" w:rsidRPr="008C589D">
              <w:rPr>
                <w:rFonts w:ascii="Arial" w:hAnsi="Arial" w:cs="Arial"/>
                <w:szCs w:val="22"/>
              </w:rPr>
              <w:t xml:space="preserve">James Bissell and </w:t>
            </w:r>
            <w:r w:rsidR="00272F7A">
              <w:rPr>
                <w:rFonts w:ascii="Arial" w:hAnsi="Arial" w:cs="Arial"/>
                <w:szCs w:val="22"/>
              </w:rPr>
              <w:t xml:space="preserve">E. </w:t>
            </w:r>
            <w:r w:rsidR="008C589D" w:rsidRPr="008C589D">
              <w:rPr>
                <w:rFonts w:ascii="Arial" w:hAnsi="Arial" w:cs="Arial"/>
                <w:szCs w:val="22"/>
              </w:rPr>
              <w:t>Gregory Holdan</w:t>
            </w:r>
            <w:r w:rsidR="002A06F9">
              <w:rPr>
                <w:rFonts w:ascii="Arial" w:hAnsi="Arial" w:cs="Arial"/>
                <w:szCs w:val="22"/>
              </w:rPr>
              <w:br/>
            </w:r>
          </w:p>
        </w:tc>
        <w:tc>
          <w:tcPr>
            <w:tcW w:w="918" w:type="dxa"/>
          </w:tcPr>
          <w:p w:rsidR="008F6FB1" w:rsidRPr="002A06F9" w:rsidRDefault="008F6FB1" w:rsidP="002A06F9">
            <w:pPr>
              <w:pStyle w:val="Heading5"/>
              <w:spacing w:before="0" w:after="0"/>
              <w:rPr>
                <w:rFonts w:cs="Arial"/>
              </w:rPr>
            </w:pPr>
          </w:p>
        </w:tc>
      </w:tr>
      <w:tr w:rsidR="008F6FB1" w:rsidRPr="00807D9E" w:rsidTr="00745EBD">
        <w:tc>
          <w:tcPr>
            <w:tcW w:w="7938" w:type="dxa"/>
          </w:tcPr>
          <w:p w:rsidR="008F6FB1" w:rsidRPr="006F6B89" w:rsidRDefault="009557B1" w:rsidP="00F500D6">
            <w:pPr>
              <w:pStyle w:val="Heading3"/>
              <w:spacing w:before="0" w:after="0"/>
            </w:pPr>
            <w:hyperlink w:anchor="_The_importance_of" w:history="1">
              <w:r w:rsidR="006F6B89" w:rsidRPr="00F374B7">
                <w:rPr>
                  <w:rStyle w:val="Hyperlink"/>
                </w:rPr>
                <w:t xml:space="preserve">The </w:t>
              </w:r>
              <w:r w:rsidR="008F546A" w:rsidRPr="00F374B7">
                <w:rPr>
                  <w:rStyle w:val="Hyperlink"/>
                </w:rPr>
                <w:t xml:space="preserve">importance of peer connections </w:t>
              </w:r>
              <w:r w:rsidR="006F6B89" w:rsidRPr="00F374B7">
                <w:rPr>
                  <w:rStyle w:val="Hyperlink"/>
                </w:rPr>
                <w:t>in Distance Education</w:t>
              </w:r>
            </w:hyperlink>
          </w:p>
        </w:tc>
        <w:tc>
          <w:tcPr>
            <w:tcW w:w="918" w:type="dxa"/>
          </w:tcPr>
          <w:p w:rsidR="008F6FB1" w:rsidRPr="00807D9E" w:rsidRDefault="00F374B7" w:rsidP="00F374B7">
            <w:pPr>
              <w:pStyle w:val="Heading3"/>
              <w:spacing w:before="0" w:after="0"/>
              <w:rPr>
                <w:rFonts w:cs="Arial"/>
              </w:rPr>
            </w:pPr>
            <w:r>
              <w:rPr>
                <w:rFonts w:cs="Arial"/>
              </w:rPr>
              <w:t>15</w:t>
            </w:r>
          </w:p>
        </w:tc>
      </w:tr>
      <w:tr w:rsidR="008F6FB1" w:rsidRPr="002A06F9" w:rsidTr="00745EBD">
        <w:tc>
          <w:tcPr>
            <w:tcW w:w="7938" w:type="dxa"/>
          </w:tcPr>
          <w:p w:rsidR="003E094E" w:rsidRPr="002A06F9" w:rsidRDefault="006F6B89" w:rsidP="008C589D">
            <w:pPr>
              <w:spacing w:before="0" w:after="0"/>
              <w:rPr>
                <w:rFonts w:ascii="Arial" w:hAnsi="Arial" w:cs="Arial"/>
              </w:rPr>
            </w:pPr>
            <w:r w:rsidRPr="002A06F9">
              <w:rPr>
                <w:rFonts w:ascii="Arial" w:hAnsi="Arial" w:cs="Arial"/>
              </w:rPr>
              <w:t>Matthew B. Fulle</w:t>
            </w:r>
            <w:r w:rsidR="008C589D">
              <w:rPr>
                <w:rFonts w:ascii="Arial" w:hAnsi="Arial" w:cs="Arial"/>
              </w:rPr>
              <w:t xml:space="preserve">r, </w:t>
            </w:r>
            <w:r w:rsidR="008C589D" w:rsidRPr="008C589D">
              <w:rPr>
                <w:rFonts w:ascii="Arial" w:hAnsi="Arial" w:cs="Arial"/>
              </w:rPr>
              <w:t>Peggy Holzweiss and Sh</w:t>
            </w:r>
            <w:r w:rsidR="008C589D">
              <w:rPr>
                <w:rFonts w:ascii="Arial" w:hAnsi="Arial" w:cs="Arial"/>
              </w:rPr>
              <w:t>ei</w:t>
            </w:r>
            <w:r w:rsidR="008C589D" w:rsidRPr="008C589D">
              <w:rPr>
                <w:rFonts w:ascii="Arial" w:hAnsi="Arial" w:cs="Arial"/>
              </w:rPr>
              <w:t xml:space="preserve">la </w:t>
            </w:r>
            <w:r w:rsidR="008C589D">
              <w:rPr>
                <w:rFonts w:ascii="Arial" w:hAnsi="Arial" w:cs="Arial"/>
              </w:rPr>
              <w:t xml:space="preserve">A. </w:t>
            </w:r>
            <w:r w:rsidR="008C589D" w:rsidRPr="008C589D">
              <w:rPr>
                <w:rFonts w:ascii="Arial" w:hAnsi="Arial" w:cs="Arial"/>
              </w:rPr>
              <w:t>Joyner</w:t>
            </w:r>
            <w:r w:rsidR="002A06F9">
              <w:rPr>
                <w:rFonts w:ascii="Arial" w:hAnsi="Arial" w:cs="Arial"/>
              </w:rPr>
              <w:br/>
            </w:r>
          </w:p>
        </w:tc>
        <w:tc>
          <w:tcPr>
            <w:tcW w:w="918" w:type="dxa"/>
          </w:tcPr>
          <w:p w:rsidR="008F6FB1" w:rsidRPr="002A06F9" w:rsidRDefault="008F6FB1" w:rsidP="002A06F9">
            <w:pPr>
              <w:spacing w:before="0" w:after="0"/>
              <w:jc w:val="center"/>
              <w:rPr>
                <w:rFonts w:ascii="Arial" w:hAnsi="Arial" w:cs="Arial"/>
              </w:rPr>
            </w:pPr>
          </w:p>
        </w:tc>
      </w:tr>
      <w:tr w:rsidR="006C0F3A" w:rsidRPr="00807D9E" w:rsidTr="00745EBD">
        <w:tc>
          <w:tcPr>
            <w:tcW w:w="7938" w:type="dxa"/>
          </w:tcPr>
          <w:p w:rsidR="006C0F3A" w:rsidRPr="006F6B89" w:rsidRDefault="009557B1" w:rsidP="002A06F9">
            <w:pPr>
              <w:pStyle w:val="Heading3"/>
              <w:spacing w:before="0" w:after="0"/>
            </w:pPr>
            <w:hyperlink w:anchor="_Pedagogical_contributions_and" w:history="1">
              <w:r w:rsidR="006F6B89" w:rsidRPr="00867C8A">
                <w:rPr>
                  <w:rStyle w:val="Hyperlink"/>
                </w:rPr>
                <w:t xml:space="preserve">Pedagogical </w:t>
              </w:r>
              <w:r w:rsidR="008F546A" w:rsidRPr="00867C8A">
                <w:rPr>
                  <w:rStyle w:val="Hyperlink"/>
                </w:rPr>
                <w:t>contributions and empirical perspectives of corrective feedback in written, oral, and computer-mediated communication</w:t>
              </w:r>
            </w:hyperlink>
          </w:p>
        </w:tc>
        <w:tc>
          <w:tcPr>
            <w:tcW w:w="918" w:type="dxa"/>
          </w:tcPr>
          <w:p w:rsidR="006C0F3A" w:rsidRPr="00807D9E" w:rsidRDefault="00F374B7" w:rsidP="002A06F9">
            <w:pPr>
              <w:pStyle w:val="Heading3"/>
              <w:spacing w:before="0" w:after="0"/>
              <w:rPr>
                <w:rFonts w:cs="Arial"/>
              </w:rPr>
            </w:pPr>
            <w:r>
              <w:rPr>
                <w:rFonts w:cs="Arial"/>
              </w:rPr>
              <w:t>23</w:t>
            </w:r>
          </w:p>
        </w:tc>
      </w:tr>
      <w:tr w:rsidR="006C0F3A" w:rsidRPr="002A06F9" w:rsidTr="00745EBD">
        <w:tc>
          <w:tcPr>
            <w:tcW w:w="7938" w:type="dxa"/>
          </w:tcPr>
          <w:p w:rsidR="006C0F3A" w:rsidRPr="002A06F9" w:rsidRDefault="006F6B89" w:rsidP="002A06F9">
            <w:pPr>
              <w:spacing w:before="0" w:after="0"/>
              <w:rPr>
                <w:rFonts w:ascii="Arial" w:hAnsi="Arial" w:cs="Arial"/>
              </w:rPr>
            </w:pPr>
            <w:r w:rsidRPr="002A06F9">
              <w:rPr>
                <w:rFonts w:ascii="Arial" w:hAnsi="Arial" w:cs="Arial"/>
              </w:rPr>
              <w:t>Seyed Behrooz Hosseini</w:t>
            </w:r>
            <w:r w:rsidR="002A06F9" w:rsidRPr="002A06F9">
              <w:rPr>
                <w:rFonts w:ascii="Arial" w:hAnsi="Arial" w:cs="Arial"/>
              </w:rPr>
              <w:br/>
            </w:r>
          </w:p>
        </w:tc>
        <w:tc>
          <w:tcPr>
            <w:tcW w:w="918" w:type="dxa"/>
          </w:tcPr>
          <w:p w:rsidR="006C0F3A" w:rsidRPr="002A06F9" w:rsidRDefault="006C0F3A" w:rsidP="002A06F9">
            <w:pPr>
              <w:pStyle w:val="Heading5"/>
              <w:spacing w:before="0" w:after="0"/>
              <w:rPr>
                <w:rFonts w:cs="Arial"/>
                <w:b w:val="0"/>
              </w:rPr>
            </w:pPr>
          </w:p>
        </w:tc>
      </w:tr>
      <w:tr w:rsidR="00F374B7" w:rsidRPr="002A06F9" w:rsidTr="00745EBD">
        <w:tc>
          <w:tcPr>
            <w:tcW w:w="7938" w:type="dxa"/>
          </w:tcPr>
          <w:p w:rsidR="00F374B7" w:rsidRPr="002A06F9" w:rsidRDefault="009557B1" w:rsidP="00F374B7">
            <w:pPr>
              <w:pStyle w:val="Heading3"/>
              <w:spacing w:before="0" w:after="0"/>
              <w:rPr>
                <w:rFonts w:cs="Arial"/>
              </w:rPr>
            </w:pPr>
            <w:hyperlink w:anchor="_The_impact_of" w:history="1">
              <w:r w:rsidR="00F374B7" w:rsidRPr="00867C8A">
                <w:rPr>
                  <w:rStyle w:val="Hyperlink"/>
                </w:rPr>
                <w:t>The impact of Webquest instruction system on Iranian intermediate EFL learner’s writing performance and perception</w:t>
              </w:r>
            </w:hyperlink>
          </w:p>
        </w:tc>
        <w:tc>
          <w:tcPr>
            <w:tcW w:w="918" w:type="dxa"/>
          </w:tcPr>
          <w:p w:rsidR="00F374B7" w:rsidRPr="002A06F9" w:rsidRDefault="00F374B7" w:rsidP="00C747F8">
            <w:pPr>
              <w:pStyle w:val="Heading3"/>
              <w:spacing w:before="0" w:after="0"/>
              <w:rPr>
                <w:rFonts w:cs="Arial"/>
                <w:b w:val="0"/>
              </w:rPr>
            </w:pPr>
            <w:r>
              <w:rPr>
                <w:rFonts w:cs="Arial"/>
              </w:rPr>
              <w:t>3</w:t>
            </w:r>
            <w:r w:rsidR="00C747F8">
              <w:rPr>
                <w:rFonts w:cs="Arial"/>
              </w:rPr>
              <w:t>7</w:t>
            </w:r>
          </w:p>
        </w:tc>
      </w:tr>
      <w:tr w:rsidR="00F374B7" w:rsidRPr="002A06F9" w:rsidTr="00745EBD">
        <w:tc>
          <w:tcPr>
            <w:tcW w:w="7938" w:type="dxa"/>
          </w:tcPr>
          <w:p w:rsidR="00F374B7" w:rsidRPr="002A06F9" w:rsidRDefault="00F374B7" w:rsidP="008C589D">
            <w:pPr>
              <w:spacing w:before="0" w:after="0"/>
              <w:rPr>
                <w:rFonts w:ascii="Arial" w:hAnsi="Arial" w:cs="Arial"/>
              </w:rPr>
            </w:pPr>
            <w:r w:rsidRPr="002A06F9">
              <w:rPr>
                <w:rFonts w:ascii="Arial" w:hAnsi="Arial" w:cs="Arial"/>
                <w:szCs w:val="22"/>
              </w:rPr>
              <w:t>Marzie Arsanjani</w:t>
            </w:r>
            <w:r w:rsidR="008C589D">
              <w:rPr>
                <w:rFonts w:ascii="Arial" w:hAnsi="Arial" w:cs="Arial"/>
                <w:szCs w:val="22"/>
              </w:rPr>
              <w:t xml:space="preserve"> and</w:t>
            </w:r>
            <w:r w:rsidRPr="002A06F9">
              <w:rPr>
                <w:rFonts w:ascii="Arial" w:hAnsi="Arial" w:cs="Arial"/>
                <w:szCs w:val="22"/>
              </w:rPr>
              <w:t xml:space="preserve"> Esmail Faghih</w:t>
            </w:r>
            <w:r>
              <w:rPr>
                <w:rFonts w:ascii="Arial" w:hAnsi="Arial" w:cs="Arial"/>
                <w:szCs w:val="22"/>
              </w:rPr>
              <w:br/>
            </w:r>
          </w:p>
        </w:tc>
        <w:tc>
          <w:tcPr>
            <w:tcW w:w="918" w:type="dxa"/>
          </w:tcPr>
          <w:p w:rsidR="00F374B7" w:rsidRPr="002A06F9" w:rsidRDefault="00F374B7" w:rsidP="002A06F9">
            <w:pPr>
              <w:pStyle w:val="Heading5"/>
              <w:spacing w:before="0" w:after="0"/>
              <w:rPr>
                <w:rFonts w:cs="Arial"/>
                <w:b w:val="0"/>
              </w:rPr>
            </w:pPr>
          </w:p>
        </w:tc>
      </w:tr>
      <w:tr w:rsidR="006C0F3A" w:rsidRPr="00807D9E" w:rsidTr="00745EBD">
        <w:tc>
          <w:tcPr>
            <w:tcW w:w="7938" w:type="dxa"/>
          </w:tcPr>
          <w:p w:rsidR="001E4628" w:rsidRPr="002A06F9" w:rsidRDefault="001E4628" w:rsidP="008F546A">
            <w:pPr>
              <w:pStyle w:val="Heading3"/>
              <w:spacing w:before="0" w:after="0"/>
            </w:pPr>
          </w:p>
        </w:tc>
        <w:tc>
          <w:tcPr>
            <w:tcW w:w="918" w:type="dxa"/>
          </w:tcPr>
          <w:p w:rsidR="006C0F3A" w:rsidRPr="00807D9E" w:rsidRDefault="006C0F3A" w:rsidP="00C747F8">
            <w:pPr>
              <w:pStyle w:val="Heading3"/>
              <w:spacing w:before="0" w:after="0"/>
              <w:rPr>
                <w:rFonts w:cs="Arial"/>
              </w:rPr>
            </w:pPr>
          </w:p>
        </w:tc>
      </w:tr>
      <w:tr w:rsidR="006C0F3A" w:rsidRPr="002A06F9" w:rsidTr="00745EBD">
        <w:tc>
          <w:tcPr>
            <w:tcW w:w="7938" w:type="dxa"/>
          </w:tcPr>
          <w:p w:rsidR="006C0F3A" w:rsidRPr="002A06F9" w:rsidRDefault="006C0F3A" w:rsidP="002A06F9">
            <w:pPr>
              <w:spacing w:before="0" w:after="0"/>
              <w:rPr>
                <w:rFonts w:ascii="Arial" w:hAnsi="Arial" w:cs="Arial"/>
              </w:rPr>
            </w:pPr>
          </w:p>
        </w:tc>
        <w:tc>
          <w:tcPr>
            <w:tcW w:w="918" w:type="dxa"/>
          </w:tcPr>
          <w:p w:rsidR="006C0F3A" w:rsidRPr="002A06F9" w:rsidRDefault="006C0F3A" w:rsidP="002A06F9">
            <w:pPr>
              <w:spacing w:before="0" w:after="0"/>
              <w:rPr>
                <w:rFonts w:ascii="Arial" w:hAnsi="Arial" w:cs="Arial"/>
              </w:rPr>
            </w:pPr>
          </w:p>
        </w:tc>
      </w:tr>
      <w:tr w:rsidR="006C0F3A" w:rsidRPr="00807D9E" w:rsidTr="00745EBD">
        <w:tc>
          <w:tcPr>
            <w:tcW w:w="7938" w:type="dxa"/>
          </w:tcPr>
          <w:p w:rsidR="006C0F3A" w:rsidRPr="00807D9E" w:rsidRDefault="006C0F3A" w:rsidP="002A06F9">
            <w:pPr>
              <w:pStyle w:val="Heading3"/>
              <w:spacing w:before="0" w:after="0"/>
              <w:rPr>
                <w:rFonts w:cs="Arial"/>
              </w:rPr>
            </w:pPr>
          </w:p>
        </w:tc>
        <w:tc>
          <w:tcPr>
            <w:tcW w:w="918" w:type="dxa"/>
          </w:tcPr>
          <w:p w:rsidR="006C0F3A" w:rsidRPr="00807D9E" w:rsidRDefault="006C0F3A" w:rsidP="00807D9E">
            <w:pPr>
              <w:pStyle w:val="Heading5"/>
              <w:spacing w:before="0" w:after="100" w:afterAutospacing="1"/>
              <w:rPr>
                <w:rFonts w:cs="Arial"/>
              </w:rPr>
            </w:pPr>
          </w:p>
        </w:tc>
      </w:tr>
      <w:tr w:rsidR="006C0F3A" w:rsidRPr="00807D9E" w:rsidTr="00745EBD">
        <w:tc>
          <w:tcPr>
            <w:tcW w:w="7938" w:type="dxa"/>
          </w:tcPr>
          <w:p w:rsidR="006C0F3A" w:rsidRPr="00807D9E" w:rsidRDefault="006C0F3A" w:rsidP="002A06F9">
            <w:pPr>
              <w:spacing w:before="0" w:after="0"/>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2A06F9">
            <w:pPr>
              <w:spacing w:before="0" w:after="0"/>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2A06F9">
            <w:pPr>
              <w:spacing w:before="0" w:after="0"/>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2A06F9">
            <w:pPr>
              <w:spacing w:before="0" w:after="0"/>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bl>
    <w:p w:rsidR="00A66818" w:rsidRDefault="00A66818" w:rsidP="00A66818">
      <w:r>
        <w:br w:type="page"/>
      </w:r>
    </w:p>
    <w:p w:rsidR="00604852" w:rsidRDefault="00604852"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9557B1" w:rsidP="00274730">
      <w:pPr>
        <w:pStyle w:val="Note"/>
      </w:pPr>
      <w:hyperlink w:anchor="TOC" w:history="1">
        <w:r w:rsidR="00274730" w:rsidRPr="00A85F92">
          <w:rPr>
            <w:rStyle w:val="Hyperlink"/>
            <w:sz w:val="16"/>
            <w:szCs w:val="16"/>
          </w:rPr>
          <w:t>Return to Table of Contents</w:t>
        </w:r>
      </w:hyperlink>
    </w:p>
    <w:p w:rsidR="00604852" w:rsidRDefault="00604852" w:rsidP="00DB6BE5">
      <w:pPr>
        <w:spacing w:after="0"/>
        <w:sectPr w:rsidR="00604852" w:rsidSect="00A375B7">
          <w:headerReference w:type="even" r:id="rId10"/>
          <w:headerReference w:type="default" r:id="rId11"/>
          <w:footerReference w:type="even" r:id="rId12"/>
          <w:footerReference w:type="default" r:id="rId13"/>
          <w:type w:val="continuous"/>
          <w:pgSz w:w="12240" w:h="15840" w:code="1"/>
          <w:pgMar w:top="1440" w:right="1800" w:bottom="1440" w:left="1800" w:header="720" w:footer="720" w:gutter="0"/>
          <w:pgNumType w:fmt="lowerRoman" w:start="1"/>
          <w:cols w:space="720"/>
          <w:titlePg/>
        </w:sectPr>
      </w:pPr>
    </w:p>
    <w:p w:rsidR="00F500D6" w:rsidRDefault="00F500D6" w:rsidP="00F500D6">
      <w:pPr>
        <w:pStyle w:val="Heading5"/>
      </w:pPr>
      <w:bookmarkStart w:id="4" w:name="_Editorial"/>
      <w:bookmarkEnd w:id="4"/>
      <w:r>
        <w:lastRenderedPageBreak/>
        <w:t>Editorial</w:t>
      </w:r>
    </w:p>
    <w:p w:rsidR="00F500D6" w:rsidRDefault="00B477C7" w:rsidP="00F500D6">
      <w:pPr>
        <w:pStyle w:val="Heading1"/>
      </w:pPr>
      <w:bookmarkStart w:id="5" w:name="_Instructional_Design_4:"/>
      <w:bookmarkStart w:id="6" w:name="_From_bound_books"/>
      <w:bookmarkEnd w:id="5"/>
      <w:bookmarkEnd w:id="6"/>
      <w:r>
        <w:t xml:space="preserve">A </w:t>
      </w:r>
      <w:r w:rsidR="00F500D6">
        <w:t>Paradigm Shift</w:t>
      </w:r>
    </w:p>
    <w:p w:rsidR="00F500D6" w:rsidRPr="000C7B67" w:rsidRDefault="00F500D6" w:rsidP="00F500D6">
      <w:pPr>
        <w:pStyle w:val="Heading5"/>
      </w:pPr>
      <w:r>
        <w:t>Donald G. Perrin</w:t>
      </w:r>
    </w:p>
    <w:p w:rsidR="00F500D6" w:rsidRPr="00496558" w:rsidRDefault="00F500D6" w:rsidP="00F500D6">
      <w:pPr>
        <w:rPr>
          <w:sz w:val="20"/>
        </w:rPr>
      </w:pPr>
      <w:r w:rsidRPr="00496558">
        <w:rPr>
          <w:sz w:val="20"/>
        </w:rPr>
        <w:t>The educational process used in schools and universities is insulated against change. Attempts to introduce innovations have failed through lack of sustained funding or because the educational community was not ready or trained to use them. James D Finn (1962) made this statement in his studies of the growth of instructional technology:</w:t>
      </w:r>
    </w:p>
    <w:p w:rsidR="00F500D6" w:rsidRPr="00496558" w:rsidRDefault="00F500D6" w:rsidP="00F500D6">
      <w:pPr>
        <w:ind w:left="360" w:right="360"/>
        <w:rPr>
          <w:sz w:val="20"/>
        </w:rPr>
      </w:pPr>
      <w:r w:rsidRPr="00496558">
        <w:rPr>
          <w:sz w:val="20"/>
        </w:rPr>
        <w:t>…Education, as a sector of national life, has, for the most part, been cut off from the technological advances enjoyed by industry, business, the military establishment, etc. The American educational enterprise exi</w:t>
      </w:r>
      <w:r>
        <w:rPr>
          <w:sz w:val="20"/>
        </w:rPr>
        <w:t>s</w:t>
      </w:r>
      <w:r w:rsidRPr="00496558">
        <w:rPr>
          <w:sz w:val="20"/>
        </w:rPr>
        <w:t>ts out of technological balance with great sectors of the society. As such, it can be viewed as a relatively primitive or underdeveloped culture existing between and among highly sophisticated technological cultures. As Dr. George Gerbner says, “the public school system is the last stronghold of folk culture in America.”</w:t>
      </w:r>
    </w:p>
    <w:p w:rsidR="00F500D6" w:rsidRPr="00496558" w:rsidRDefault="00F500D6" w:rsidP="00F500D6">
      <w:pPr>
        <w:rPr>
          <w:sz w:val="20"/>
        </w:rPr>
      </w:pPr>
      <w:r w:rsidRPr="00496558">
        <w:rPr>
          <w:sz w:val="20"/>
        </w:rPr>
        <w:t xml:space="preserve">Finn’s </w:t>
      </w:r>
      <w:r>
        <w:rPr>
          <w:sz w:val="20"/>
        </w:rPr>
        <w:t>vision</w:t>
      </w:r>
      <w:r w:rsidRPr="00496558">
        <w:rPr>
          <w:sz w:val="20"/>
        </w:rPr>
        <w:t xml:space="preserve"> was to affect a technological revolution in instruction. </w:t>
      </w:r>
      <w:r>
        <w:rPr>
          <w:sz w:val="20"/>
        </w:rPr>
        <w:t>Yet 50 years later</w:t>
      </w:r>
      <w:r w:rsidRPr="00496558">
        <w:rPr>
          <w:sz w:val="20"/>
        </w:rPr>
        <w:t xml:space="preserve">, even with adoption of significant new technologies such as television, computers, and the internet, </w:t>
      </w:r>
      <w:r>
        <w:rPr>
          <w:sz w:val="20"/>
        </w:rPr>
        <w:t>over</w:t>
      </w:r>
      <w:r w:rsidRPr="00496558">
        <w:rPr>
          <w:sz w:val="20"/>
        </w:rPr>
        <w:t xml:space="preserve"> 9</w:t>
      </w:r>
      <w:r>
        <w:rPr>
          <w:sz w:val="20"/>
        </w:rPr>
        <w:t>0</w:t>
      </w:r>
      <w:r w:rsidRPr="00496558">
        <w:rPr>
          <w:sz w:val="20"/>
        </w:rPr>
        <w:t xml:space="preserve">% of instruction takes place using traditional one-to-many face-to-face instruction. </w:t>
      </w:r>
      <w:r>
        <w:rPr>
          <w:sz w:val="20"/>
        </w:rPr>
        <w:t>A plethora</w:t>
      </w:r>
      <w:r w:rsidRPr="00496558">
        <w:rPr>
          <w:sz w:val="20"/>
        </w:rPr>
        <w:t xml:space="preserve"> of research </w:t>
      </w:r>
      <w:r>
        <w:rPr>
          <w:sz w:val="20"/>
        </w:rPr>
        <w:t xml:space="preserve">in </w:t>
      </w:r>
      <w:r w:rsidRPr="00496558">
        <w:rPr>
          <w:sz w:val="20"/>
        </w:rPr>
        <w:t xml:space="preserve">communication and learning have not </w:t>
      </w:r>
      <w:r>
        <w:rPr>
          <w:sz w:val="20"/>
        </w:rPr>
        <w:t>brought about</w:t>
      </w:r>
      <w:r w:rsidRPr="00496558">
        <w:rPr>
          <w:sz w:val="20"/>
        </w:rPr>
        <w:t xml:space="preserve"> expected improvement</w:t>
      </w:r>
      <w:r>
        <w:rPr>
          <w:sz w:val="20"/>
        </w:rPr>
        <w:t>s</w:t>
      </w:r>
      <w:r w:rsidRPr="00496558">
        <w:rPr>
          <w:sz w:val="20"/>
        </w:rPr>
        <w:t xml:space="preserve"> in efficiency and effectiveness of learning.</w:t>
      </w:r>
    </w:p>
    <w:p w:rsidR="00F500D6" w:rsidRPr="00496558" w:rsidRDefault="00F500D6" w:rsidP="00F500D6">
      <w:pPr>
        <w:rPr>
          <w:sz w:val="20"/>
        </w:rPr>
      </w:pPr>
      <w:r w:rsidRPr="00496558">
        <w:rPr>
          <w:sz w:val="20"/>
        </w:rPr>
        <w:t xml:space="preserve">In the public schools, progress is complicated by the need to update the curriculum and </w:t>
      </w:r>
      <w:r>
        <w:rPr>
          <w:sz w:val="20"/>
        </w:rPr>
        <w:t>pedagogy</w:t>
      </w:r>
      <w:r w:rsidRPr="00496558">
        <w:rPr>
          <w:sz w:val="20"/>
        </w:rPr>
        <w:t xml:space="preserve"> of millions of teachers </w:t>
      </w:r>
      <w:r>
        <w:rPr>
          <w:sz w:val="20"/>
        </w:rPr>
        <w:t xml:space="preserve">and administrators </w:t>
      </w:r>
      <w:r w:rsidRPr="00496558">
        <w:rPr>
          <w:sz w:val="20"/>
        </w:rPr>
        <w:t xml:space="preserve">and </w:t>
      </w:r>
      <w:r>
        <w:rPr>
          <w:sz w:val="20"/>
        </w:rPr>
        <w:t>the need</w:t>
      </w:r>
      <w:r w:rsidRPr="00496558">
        <w:rPr>
          <w:sz w:val="20"/>
        </w:rPr>
        <w:t xml:space="preserve"> to upgrade teacher training institutions to equip new teachers with state of the art tools, methods and practices.</w:t>
      </w:r>
      <w:r>
        <w:rPr>
          <w:sz w:val="20"/>
        </w:rPr>
        <w:t xml:space="preserve"> Retraining is not a feasible option. And the curriculum is archaic in its ability to meet lifelong needs of students. The task is beyond reorganization</w:t>
      </w:r>
      <w:r w:rsidRPr="00496558">
        <w:rPr>
          <w:sz w:val="20"/>
        </w:rPr>
        <w:t xml:space="preserve"> or putting band-aids on the present system. It requires a fundamental change based on a re-definition of the purpose of education to fit the world of 2015</w:t>
      </w:r>
      <w:r>
        <w:rPr>
          <w:sz w:val="20"/>
        </w:rPr>
        <w:t xml:space="preserve"> and beyond</w:t>
      </w:r>
      <w:r w:rsidRPr="00496558">
        <w:rPr>
          <w:sz w:val="20"/>
        </w:rPr>
        <w:t xml:space="preserve">.  </w:t>
      </w:r>
      <w:r>
        <w:rPr>
          <w:sz w:val="20"/>
        </w:rPr>
        <w:t>It requires a new paradigm.</w:t>
      </w:r>
    </w:p>
    <w:p w:rsidR="00F500D6" w:rsidRDefault="00F500D6" w:rsidP="00F500D6">
      <w:pPr>
        <w:rPr>
          <w:sz w:val="20"/>
        </w:rPr>
      </w:pPr>
      <w:r w:rsidRPr="00496558">
        <w:rPr>
          <w:sz w:val="20"/>
        </w:rPr>
        <w:t xml:space="preserve">By definition, a paradigm shift is a change so radical that it replaces established </w:t>
      </w:r>
      <w:r>
        <w:rPr>
          <w:sz w:val="20"/>
        </w:rPr>
        <w:t xml:space="preserve">assumptions, </w:t>
      </w:r>
      <w:r w:rsidRPr="00496558">
        <w:rPr>
          <w:sz w:val="20"/>
        </w:rPr>
        <w:t xml:space="preserve">knowledge, skills and practices with a new way of doing things and a new set of rules. </w:t>
      </w:r>
    </w:p>
    <w:p w:rsidR="00F500D6" w:rsidRPr="00496558" w:rsidRDefault="00F500D6" w:rsidP="00F500D6">
      <w:pPr>
        <w:rPr>
          <w:sz w:val="20"/>
        </w:rPr>
      </w:pPr>
      <w:r w:rsidRPr="00496558">
        <w:rPr>
          <w:sz w:val="20"/>
        </w:rPr>
        <w:t xml:space="preserve">Innovation is a primary </w:t>
      </w:r>
      <w:r>
        <w:rPr>
          <w:sz w:val="20"/>
        </w:rPr>
        <w:t>trigger</w:t>
      </w:r>
      <w:r w:rsidRPr="00496558">
        <w:rPr>
          <w:sz w:val="20"/>
        </w:rPr>
        <w:t xml:space="preserve"> of paradigm shifts. Consider the positive impact of the railroad, steamship, automobile, airplane, and spaceship on transportation; pasteurization, vaccination, and antibiotics </w:t>
      </w:r>
      <w:r>
        <w:rPr>
          <w:sz w:val="20"/>
        </w:rPr>
        <w:t>o</w:t>
      </w:r>
      <w:r w:rsidRPr="00496558">
        <w:rPr>
          <w:sz w:val="20"/>
        </w:rPr>
        <w:t>n medicine; and the printing press, photography, telephone, gramophone, radio, motion pictures, television, computers, internet and smart phones</w:t>
      </w:r>
      <w:r>
        <w:rPr>
          <w:sz w:val="20"/>
        </w:rPr>
        <w:t xml:space="preserve"> on communication</w:t>
      </w:r>
      <w:r w:rsidRPr="00496558">
        <w:rPr>
          <w:sz w:val="20"/>
        </w:rPr>
        <w:t>. A change that does the same thing better o</w:t>
      </w:r>
      <w:r>
        <w:rPr>
          <w:sz w:val="20"/>
        </w:rPr>
        <w:t>r</w:t>
      </w:r>
      <w:r w:rsidRPr="00496558">
        <w:rPr>
          <w:sz w:val="20"/>
        </w:rPr>
        <w:t xml:space="preserve"> faster may or may not fit the definition of paradigm shift if it complements but do</w:t>
      </w:r>
      <w:r>
        <w:rPr>
          <w:sz w:val="20"/>
        </w:rPr>
        <w:t>es</w:t>
      </w:r>
      <w:r w:rsidRPr="00496558">
        <w:rPr>
          <w:sz w:val="20"/>
        </w:rPr>
        <w:t xml:space="preserve"> not replace the existing way of doing things.</w:t>
      </w:r>
    </w:p>
    <w:p w:rsidR="00F500D6" w:rsidRPr="00496558" w:rsidRDefault="00F500D6" w:rsidP="00F500D6">
      <w:pPr>
        <w:rPr>
          <w:sz w:val="20"/>
        </w:rPr>
      </w:pPr>
      <w:r w:rsidRPr="00496558">
        <w:rPr>
          <w:sz w:val="20"/>
        </w:rPr>
        <w:t xml:space="preserve">Two decades ago, I attended a meeting between </w:t>
      </w:r>
      <w:r>
        <w:rPr>
          <w:sz w:val="20"/>
        </w:rPr>
        <w:t>educational</w:t>
      </w:r>
      <w:r w:rsidRPr="00496558">
        <w:rPr>
          <w:sz w:val="20"/>
        </w:rPr>
        <w:t xml:space="preserve"> leaders </w:t>
      </w:r>
      <w:r>
        <w:rPr>
          <w:sz w:val="20"/>
        </w:rPr>
        <w:t>and</w:t>
      </w:r>
      <w:r w:rsidRPr="00496558">
        <w:rPr>
          <w:sz w:val="20"/>
        </w:rPr>
        <w:t xml:space="preserve"> executives from the Silicon Valley, the hotbed of innovation</w:t>
      </w:r>
      <w:r>
        <w:rPr>
          <w:sz w:val="20"/>
        </w:rPr>
        <w:t xml:space="preserve"> in</w:t>
      </w:r>
      <w:r w:rsidRPr="00496558">
        <w:rPr>
          <w:sz w:val="20"/>
        </w:rPr>
        <w:t xml:space="preserve"> computer</w:t>
      </w:r>
      <w:r>
        <w:rPr>
          <w:sz w:val="20"/>
        </w:rPr>
        <w:t>s</w:t>
      </w:r>
      <w:r w:rsidRPr="00496558">
        <w:rPr>
          <w:sz w:val="20"/>
        </w:rPr>
        <w:t xml:space="preserve"> and communication</w:t>
      </w:r>
      <w:r>
        <w:rPr>
          <w:sz w:val="20"/>
        </w:rPr>
        <w:t>s.</w:t>
      </w:r>
      <w:r w:rsidRPr="00496558">
        <w:rPr>
          <w:sz w:val="20"/>
        </w:rPr>
        <w:t xml:space="preserve"> The</w:t>
      </w:r>
      <w:r>
        <w:rPr>
          <w:sz w:val="20"/>
        </w:rPr>
        <w:t>se executives</w:t>
      </w:r>
      <w:r w:rsidRPr="00496558">
        <w:rPr>
          <w:sz w:val="20"/>
        </w:rPr>
        <w:t xml:space="preserve"> challenged us to develop </w:t>
      </w:r>
      <w:r>
        <w:rPr>
          <w:sz w:val="20"/>
        </w:rPr>
        <w:t>students that</w:t>
      </w:r>
      <w:r w:rsidRPr="00496558">
        <w:rPr>
          <w:sz w:val="20"/>
        </w:rPr>
        <w:t xml:space="preserve"> were curious, energetic, </w:t>
      </w:r>
      <w:r>
        <w:rPr>
          <w:sz w:val="20"/>
        </w:rPr>
        <w:t xml:space="preserve">able </w:t>
      </w:r>
      <w:r w:rsidRPr="00496558">
        <w:rPr>
          <w:sz w:val="20"/>
        </w:rPr>
        <w:t>think outside-of-the-box. The</w:t>
      </w:r>
      <w:r>
        <w:rPr>
          <w:sz w:val="20"/>
        </w:rPr>
        <w:t>ir</w:t>
      </w:r>
      <w:r w:rsidRPr="00496558">
        <w:rPr>
          <w:sz w:val="20"/>
        </w:rPr>
        <w:t xml:space="preserve"> industries required higher levels of learning</w:t>
      </w:r>
      <w:r>
        <w:rPr>
          <w:sz w:val="20"/>
        </w:rPr>
        <w:t>:</w:t>
      </w:r>
      <w:r w:rsidRPr="00496558">
        <w:rPr>
          <w:sz w:val="20"/>
        </w:rPr>
        <w:t xml:space="preserve"> problem solvers, innovators, risk-takers, and entrepreneurs to build </w:t>
      </w:r>
      <w:r>
        <w:rPr>
          <w:sz w:val="20"/>
        </w:rPr>
        <w:t>a</w:t>
      </w:r>
      <w:r w:rsidRPr="00496558">
        <w:rPr>
          <w:sz w:val="20"/>
        </w:rPr>
        <w:t xml:space="preserve"> culture of innovation.</w:t>
      </w:r>
      <w:r>
        <w:rPr>
          <w:sz w:val="20"/>
        </w:rPr>
        <w:t xml:space="preserve"> </w:t>
      </w:r>
      <w:r w:rsidRPr="00496558">
        <w:rPr>
          <w:sz w:val="20"/>
        </w:rPr>
        <w:t>The educators were fascinated, but it did not fit their paradigm. They walked away and little was done. And technology companies have continued to this day to recruit from wherever in the world they can find persons with the skillsets they need.</w:t>
      </w:r>
    </w:p>
    <w:p w:rsidR="00F500D6" w:rsidRPr="00496558" w:rsidRDefault="00F500D6" w:rsidP="00F500D6">
      <w:pPr>
        <w:rPr>
          <w:sz w:val="20"/>
        </w:rPr>
      </w:pPr>
      <w:r>
        <w:rPr>
          <w:sz w:val="20"/>
        </w:rPr>
        <w:t>For centuries past</w:t>
      </w:r>
      <w:r w:rsidRPr="00496558">
        <w:rPr>
          <w:sz w:val="20"/>
        </w:rPr>
        <w:t xml:space="preserve">, schools developed workers </w:t>
      </w:r>
      <w:r>
        <w:rPr>
          <w:sz w:val="20"/>
        </w:rPr>
        <w:t xml:space="preserve">with basic skills and the ability </w:t>
      </w:r>
      <w:r w:rsidRPr="00496558">
        <w:rPr>
          <w:sz w:val="20"/>
        </w:rPr>
        <w:t>t</w:t>
      </w:r>
      <w:r>
        <w:rPr>
          <w:sz w:val="20"/>
        </w:rPr>
        <w:t>o</w:t>
      </w:r>
      <w:r w:rsidRPr="00496558">
        <w:rPr>
          <w:sz w:val="20"/>
        </w:rPr>
        <w:t xml:space="preserve"> follow instructions. Automation and off-shore labor has </w:t>
      </w:r>
      <w:r>
        <w:rPr>
          <w:sz w:val="20"/>
        </w:rPr>
        <w:t xml:space="preserve">now </w:t>
      </w:r>
      <w:r w:rsidRPr="00496558">
        <w:rPr>
          <w:sz w:val="20"/>
        </w:rPr>
        <w:t xml:space="preserve">replaced most of those jobs. </w:t>
      </w:r>
      <w:r>
        <w:rPr>
          <w:sz w:val="20"/>
        </w:rPr>
        <w:t xml:space="preserve"> </w:t>
      </w:r>
      <w:r w:rsidRPr="00496558">
        <w:rPr>
          <w:sz w:val="20"/>
        </w:rPr>
        <w:t>Innovative technologies are driving our econom</w:t>
      </w:r>
      <w:r>
        <w:rPr>
          <w:sz w:val="20"/>
        </w:rPr>
        <w:t>y</w:t>
      </w:r>
      <w:r w:rsidRPr="00496558">
        <w:rPr>
          <w:sz w:val="20"/>
        </w:rPr>
        <w:t xml:space="preserve">, yet education in the United States, </w:t>
      </w:r>
      <w:r>
        <w:rPr>
          <w:sz w:val="20"/>
        </w:rPr>
        <w:t>a leader in</w:t>
      </w:r>
      <w:r w:rsidRPr="00496558">
        <w:rPr>
          <w:sz w:val="20"/>
        </w:rPr>
        <w:t xml:space="preserve"> innovation, is not preparing enough engineers, scientists</w:t>
      </w:r>
      <w:r>
        <w:rPr>
          <w:sz w:val="20"/>
        </w:rPr>
        <w:t>,</w:t>
      </w:r>
      <w:r w:rsidRPr="00496558">
        <w:rPr>
          <w:sz w:val="20"/>
        </w:rPr>
        <w:t xml:space="preserve"> </w:t>
      </w:r>
      <w:r>
        <w:rPr>
          <w:sz w:val="20"/>
        </w:rPr>
        <w:t xml:space="preserve">and </w:t>
      </w:r>
      <w:r w:rsidRPr="00496558">
        <w:rPr>
          <w:sz w:val="20"/>
        </w:rPr>
        <w:t>computer programmers</w:t>
      </w:r>
      <w:r>
        <w:rPr>
          <w:sz w:val="20"/>
        </w:rPr>
        <w:t>.</w:t>
      </w:r>
      <w:r w:rsidRPr="00496558">
        <w:rPr>
          <w:sz w:val="20"/>
        </w:rPr>
        <w:t xml:space="preserve"> We have known for half a century that we need to recruit and stimulate students </w:t>
      </w:r>
      <w:r>
        <w:rPr>
          <w:sz w:val="20"/>
        </w:rPr>
        <w:t>to be</w:t>
      </w:r>
      <w:r w:rsidRPr="00496558">
        <w:rPr>
          <w:sz w:val="20"/>
        </w:rPr>
        <w:t xml:space="preserve"> scien</w:t>
      </w:r>
      <w:r>
        <w:rPr>
          <w:sz w:val="20"/>
        </w:rPr>
        <w:t>tists</w:t>
      </w:r>
      <w:r w:rsidRPr="00496558">
        <w:rPr>
          <w:sz w:val="20"/>
        </w:rPr>
        <w:t>, mathematic</w:t>
      </w:r>
      <w:r>
        <w:rPr>
          <w:sz w:val="20"/>
        </w:rPr>
        <w:t>ian</w:t>
      </w:r>
      <w:r w:rsidRPr="00496558">
        <w:rPr>
          <w:sz w:val="20"/>
        </w:rPr>
        <w:t>s, engineer</w:t>
      </w:r>
      <w:r>
        <w:rPr>
          <w:sz w:val="20"/>
        </w:rPr>
        <w:t>s, medical doctors and nurses</w:t>
      </w:r>
      <w:r w:rsidRPr="00496558">
        <w:rPr>
          <w:sz w:val="20"/>
        </w:rPr>
        <w:t xml:space="preserve">. Yet American companies have had to search the world to recruit </w:t>
      </w:r>
      <w:r>
        <w:rPr>
          <w:sz w:val="20"/>
        </w:rPr>
        <w:t>for these professions</w:t>
      </w:r>
      <w:r w:rsidRPr="00496558">
        <w:rPr>
          <w:sz w:val="20"/>
        </w:rPr>
        <w:t xml:space="preserve">. </w:t>
      </w:r>
    </w:p>
    <w:p w:rsidR="00F500D6" w:rsidRDefault="00F500D6" w:rsidP="00F500D6">
      <w:pPr>
        <w:rPr>
          <w:sz w:val="20"/>
        </w:rPr>
      </w:pPr>
      <w:r>
        <w:rPr>
          <w:sz w:val="20"/>
        </w:rPr>
        <w:t>The problem identified by Finn, that “t</w:t>
      </w:r>
      <w:r w:rsidRPr="00496558">
        <w:rPr>
          <w:sz w:val="20"/>
        </w:rPr>
        <w:t>he American educational enterprise exi</w:t>
      </w:r>
      <w:r>
        <w:rPr>
          <w:sz w:val="20"/>
        </w:rPr>
        <w:t>s</w:t>
      </w:r>
      <w:r w:rsidRPr="00496558">
        <w:rPr>
          <w:sz w:val="20"/>
        </w:rPr>
        <w:t>ts out of technological balance with great sectors of the society</w:t>
      </w:r>
      <w:r>
        <w:rPr>
          <w:sz w:val="20"/>
        </w:rPr>
        <w:t xml:space="preserve">”, is now so extreme that only a paradigm shift can bring relevance and responsiveness to U.S. educational needs for the present and the future. </w:t>
      </w:r>
    </w:p>
    <w:p w:rsidR="00F500D6" w:rsidRPr="00D60B99" w:rsidRDefault="00F500D6" w:rsidP="00F500D6">
      <w:pPr>
        <w:pBdr>
          <w:top w:val="single" w:sz="4" w:space="1" w:color="auto"/>
        </w:pBdr>
        <w:spacing w:after="60"/>
        <w:rPr>
          <w:sz w:val="16"/>
          <w:szCs w:val="16"/>
        </w:rPr>
      </w:pPr>
      <w:r w:rsidRPr="00D60B99">
        <w:rPr>
          <w:sz w:val="16"/>
          <w:szCs w:val="16"/>
        </w:rPr>
        <w:t>Barker, Joel A. (1993) Paradigms: The business of discovering the future. Harper.</w:t>
      </w:r>
    </w:p>
    <w:p w:rsidR="00F500D6" w:rsidRPr="00D60B99" w:rsidRDefault="00F500D6" w:rsidP="00F500D6">
      <w:pPr>
        <w:spacing w:after="60"/>
        <w:rPr>
          <w:sz w:val="16"/>
          <w:szCs w:val="16"/>
        </w:rPr>
      </w:pPr>
      <w:r w:rsidRPr="00D60B99">
        <w:rPr>
          <w:sz w:val="16"/>
          <w:szCs w:val="16"/>
        </w:rPr>
        <w:t xml:space="preserve">Finn, James D., Perrin, Donald G., and Campion, Lee E. (1962) </w:t>
      </w:r>
      <w:r>
        <w:rPr>
          <w:sz w:val="16"/>
          <w:szCs w:val="16"/>
        </w:rPr>
        <w:t xml:space="preserve">Studies in the growth of Instructional Technology: </w:t>
      </w:r>
      <w:r>
        <w:rPr>
          <w:sz w:val="16"/>
          <w:szCs w:val="16"/>
        </w:rPr>
        <w:br/>
        <w:t xml:space="preserve">         </w:t>
      </w:r>
      <w:r w:rsidRPr="00D60B99">
        <w:rPr>
          <w:sz w:val="16"/>
          <w:szCs w:val="16"/>
        </w:rPr>
        <w:t>Audiovisual Instrumentation for Instruction in the Public Schools, 1930-1960. A basis for take-off.</w:t>
      </w: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C44B56" w:rsidRDefault="009557B1" w:rsidP="00767053">
      <w:pPr>
        <w:pStyle w:val="Note"/>
        <w:rPr>
          <w:rStyle w:val="Hyperlink"/>
          <w:sz w:val="16"/>
          <w:szCs w:val="16"/>
        </w:rPr>
      </w:pPr>
      <w:hyperlink w:anchor="TOC" w:history="1">
        <w:r w:rsidR="00767053" w:rsidRPr="00A85F92">
          <w:rPr>
            <w:rStyle w:val="Hyperlink"/>
            <w:sz w:val="16"/>
            <w:szCs w:val="16"/>
          </w:rPr>
          <w:t>Return to Table of Contents</w:t>
        </w:r>
      </w:hyperlink>
      <w:r w:rsidR="0007413D">
        <w:rPr>
          <w:rStyle w:val="Hyperlink"/>
          <w:sz w:val="16"/>
          <w:szCs w:val="16"/>
        </w:rPr>
        <w:br w:type="page"/>
      </w:r>
    </w:p>
    <w:p w:rsidR="00027068" w:rsidRDefault="00027068" w:rsidP="00027068">
      <w:pPr>
        <w:pStyle w:val="Note"/>
      </w:pPr>
      <w:r>
        <w:rPr>
          <w:b/>
        </w:rPr>
        <w:lastRenderedPageBreak/>
        <w:t>Editor’s Note</w:t>
      </w:r>
      <w:r w:rsidRPr="00BF5841">
        <w:t xml:space="preserve">:  </w:t>
      </w:r>
      <w:r w:rsidR="002E4731">
        <w:t>In business, we advise students to “go where the money is”. In Education, we are advised to adopt the environment they use most frequently - the s</w:t>
      </w:r>
      <w:r w:rsidR="004B726D">
        <w:t>ocial media</w:t>
      </w:r>
      <w:r w:rsidR="002E4731">
        <w:t>. The question with all mediated communications which to use for a specific purpose. Here are some findings to add to your data bank and maybe stimulate some further research.</w:t>
      </w:r>
    </w:p>
    <w:p w:rsidR="002E4731" w:rsidRPr="00437973" w:rsidRDefault="002E4731" w:rsidP="00027068">
      <w:pPr>
        <w:pStyle w:val="Note"/>
        <w:rPr>
          <w:color w:val="auto"/>
          <w:szCs w:val="24"/>
        </w:rPr>
      </w:pPr>
    </w:p>
    <w:p w:rsidR="00027068" w:rsidRPr="00E941C0" w:rsidRDefault="00027068" w:rsidP="00027068">
      <w:pPr>
        <w:pStyle w:val="Heading1"/>
      </w:pPr>
      <w:bookmarkStart w:id="7" w:name="_Analyzing_Twitter’s_impact"/>
      <w:bookmarkEnd w:id="7"/>
      <w:r w:rsidRPr="00E941C0">
        <w:t xml:space="preserve">Analyzing </w:t>
      </w:r>
      <w:r>
        <w:t>T</w:t>
      </w:r>
      <w:r w:rsidRPr="00E941C0">
        <w:t xml:space="preserve">witter’s impact on student engagement </w:t>
      </w:r>
      <w:r>
        <w:br/>
      </w:r>
      <w:r w:rsidRPr="00E941C0">
        <w:t>in college instruction</w:t>
      </w:r>
    </w:p>
    <w:p w:rsidR="00027068" w:rsidRPr="00027068" w:rsidRDefault="00027068" w:rsidP="00027068">
      <w:pPr>
        <w:pStyle w:val="Heading5"/>
        <w:rPr>
          <w:rFonts w:ascii="Times New Roman" w:hAnsi="Times New Roman"/>
          <w:sz w:val="22"/>
          <w:szCs w:val="22"/>
        </w:rPr>
      </w:pPr>
      <w:r w:rsidRPr="00027068">
        <w:rPr>
          <w:sz w:val="22"/>
          <w:szCs w:val="22"/>
        </w:rPr>
        <w:t>Armand Buzzelli</w:t>
      </w:r>
      <w:bookmarkStart w:id="8" w:name="_GoBack"/>
      <w:bookmarkEnd w:id="8"/>
      <w:r w:rsidR="008C589D">
        <w:rPr>
          <w:sz w:val="22"/>
          <w:szCs w:val="22"/>
        </w:rPr>
        <w:t xml:space="preserve">, James Bissell and </w:t>
      </w:r>
      <w:r w:rsidR="00272F7A">
        <w:rPr>
          <w:sz w:val="22"/>
          <w:szCs w:val="22"/>
        </w:rPr>
        <w:t xml:space="preserve">E. </w:t>
      </w:r>
      <w:r w:rsidR="008C589D">
        <w:rPr>
          <w:sz w:val="22"/>
          <w:szCs w:val="22"/>
        </w:rPr>
        <w:t>Gregory Holdan</w:t>
      </w:r>
    </w:p>
    <w:p w:rsidR="00027068" w:rsidRPr="002E4731" w:rsidRDefault="00027068" w:rsidP="002E4731">
      <w:pPr>
        <w:pStyle w:val="Heading5"/>
        <w:rPr>
          <w:sz w:val="18"/>
          <w:szCs w:val="18"/>
        </w:rPr>
      </w:pPr>
      <w:r w:rsidRPr="002E4731">
        <w:rPr>
          <w:sz w:val="18"/>
          <w:szCs w:val="18"/>
        </w:rPr>
        <w:t>USA</w:t>
      </w:r>
    </w:p>
    <w:p w:rsidR="00027068" w:rsidRPr="004F22BA" w:rsidRDefault="00027068" w:rsidP="00027068">
      <w:pPr>
        <w:pStyle w:val="Heading3"/>
      </w:pPr>
      <w:bookmarkStart w:id="9" w:name="_Toc397701226"/>
      <w:r w:rsidRPr="004F22BA">
        <w:t>Abstract</w:t>
      </w:r>
      <w:bookmarkEnd w:id="9"/>
    </w:p>
    <w:p w:rsidR="00027068" w:rsidRDefault="00027068" w:rsidP="00027068">
      <w:r w:rsidRPr="0029458C">
        <w:t>Social media networks such as Twitter provide an opport</w:t>
      </w:r>
      <w:r>
        <w:t>unity for instructors to incorporate</w:t>
      </w:r>
      <w:r w:rsidRPr="0029458C">
        <w:t xml:space="preserve"> mobile technology</w:t>
      </w:r>
      <w:r>
        <w:t xml:space="preserve"> already being used by the majority of students to create </w:t>
      </w:r>
      <w:r w:rsidRPr="0029458C">
        <w:t>discussion</w:t>
      </w:r>
      <w:r>
        <w:t>s</w:t>
      </w:r>
      <w:r w:rsidRPr="0029458C">
        <w:t xml:space="preserve"> beyond the classroom.  Two separate mixed methods research </w:t>
      </w:r>
      <w:r>
        <w:t>studies analyzed the process of posting daily tweets on Twitter in an attempt to increase student achievement on core concepts through spaced practice methods.  Tweets were posted daily within separate higher education courses and disciplines to help increase student engagement as well as their achievement.</w:t>
      </w:r>
      <w:r w:rsidR="00ED0CEF">
        <w:t xml:space="preserve">  </w:t>
      </w:r>
      <w:r>
        <w:t>The quantitative aspect of the research analyzed scores from student exams as well as Likert scale survey questions.  Following the exams, the researchers conducted a qualitative review of student survey questions as well as interviews. An analysis of student exam scores did not show a significant difference in either study, however t</w:t>
      </w:r>
      <w:r w:rsidRPr="00F72319">
        <w:t xml:space="preserve">hese scores </w:t>
      </w:r>
      <w:r>
        <w:t xml:space="preserve">indicate that </w:t>
      </w:r>
      <w:r w:rsidRPr="00F72319">
        <w:t xml:space="preserve">Twitter may </w:t>
      </w:r>
      <w:r>
        <w:t>function</w:t>
      </w:r>
      <w:r w:rsidRPr="00F72319">
        <w:t xml:space="preserve"> as an effective review tool </w:t>
      </w:r>
      <w:r>
        <w:t xml:space="preserve">for helping students with concept learning.  Additionally through the surveys and interviews, categories were developed that helped to show interest in integrating Twitter into the learning process.  Some of the key findings from this assessment indicated that students are followers on Twitter looking for information on topics of interest.  </w:t>
      </w:r>
      <w:r w:rsidR="0041763D">
        <w:t>They mentioned that they engage</w:t>
      </w:r>
      <w:r>
        <w:t xml:space="preserve"> through reading and viewing visuals like graphs or images, but would like a more personalized experience that included </w:t>
      </w:r>
      <w:r w:rsidRPr="00771D2A">
        <w:t>integration of Twitter into course discussion as well as more real-world examples.  Suggestions for future research should include utilizing massed and distributed practice capabilities of Twitter, integration of Twitter into the classroom, and examining effective methods that help engage students through social media.</w:t>
      </w:r>
    </w:p>
    <w:p w:rsidR="00027068" w:rsidRPr="00027068" w:rsidRDefault="00027068" w:rsidP="00027068">
      <w:pPr>
        <w:rPr>
          <w:sz w:val="20"/>
        </w:rPr>
      </w:pPr>
      <w:r w:rsidRPr="0041763D">
        <w:rPr>
          <w:b/>
          <w:sz w:val="20"/>
        </w:rPr>
        <w:t>Keywords:</w:t>
      </w:r>
      <w:r w:rsidRPr="00027068">
        <w:rPr>
          <w:i/>
          <w:sz w:val="20"/>
        </w:rPr>
        <w:t xml:space="preserve"> </w:t>
      </w:r>
      <w:r w:rsidRPr="00027068">
        <w:rPr>
          <w:sz w:val="20"/>
        </w:rPr>
        <w:t>Twitter, student engagement, higher education, concept learning, spaced practice, distributed practice, social media, microblogging, Connectivism</w:t>
      </w:r>
      <w:r w:rsidR="004060DA">
        <w:rPr>
          <w:sz w:val="20"/>
        </w:rPr>
        <w:t>.</w:t>
      </w:r>
    </w:p>
    <w:p w:rsidR="00027068" w:rsidRDefault="00027068" w:rsidP="00027068">
      <w:pPr>
        <w:pStyle w:val="Heading3"/>
      </w:pPr>
      <w:r>
        <w:t>Introduction</w:t>
      </w:r>
    </w:p>
    <w:p w:rsidR="00027068" w:rsidRDefault="00027068" w:rsidP="00027068">
      <w:bookmarkStart w:id="10" w:name="h.gjdgxs" w:colFirst="0" w:colLast="0"/>
      <w:bookmarkEnd w:id="10"/>
      <w:r>
        <w:t>Is social media the key to unlocking the age old problem of engaging students in the classroom and beyond?  This question looks at a relatively new solution to the problem of student engagement.</w:t>
      </w:r>
      <w:r w:rsidR="00ED0CEF">
        <w:t xml:space="preserve">  </w:t>
      </w:r>
      <w:r>
        <w:t xml:space="preserve">Krause and Coates define student engagement as “the extent to which students are engaging in activities that higher education research has shown to be linked with high-quality learning outcomes” (2008, p.493), while Hu and Kuh defined it as “the quality of effort students themselves devote to educationally purposeful activities that contribute directly to desired outcomes” (2001, p. 3).  Ultimately, engagement is a process of interacting online or in the classroom by reviewing content through reading, </w:t>
      </w:r>
      <w:r w:rsidR="004060DA">
        <w:t xml:space="preserve">listening, sensing, </w:t>
      </w:r>
      <w:r>
        <w:t>viewing, sharing or clicking on links for additional information.</w:t>
      </w:r>
    </w:p>
    <w:p w:rsidR="00027068" w:rsidRDefault="00027068" w:rsidP="00027068">
      <w:r>
        <w:t xml:space="preserve">Regardless of the definition used for student engagement, research has demonstrated that students are often not engaged in a traditional lecture-style classroom setting (Fassinger, 1995; Nunn, 1996; Weimer, 2013, et. al). Moreover, research from the Duke University social relationships project recounted that college students cited class as the place where they feel most lonely (Asher </w:t>
      </w:r>
      <w:r>
        <w:lastRenderedPageBreak/>
        <w:t>&amp; Weeks, 2012). These findings indicate that educators need to find a solution to better engage students.</w:t>
      </w:r>
    </w:p>
    <w:p w:rsidR="00027068" w:rsidRDefault="00027068" w:rsidP="00027068">
      <w:r>
        <w:t>Researchers have started to turn to social media as a potential answer to the student engagement problem.  Studies have indicated that social media may provide a platform to engage students and increase student discussion beyond the classroom (Junco, Heiberger &amp; Loken, 2011; Ivala, &amp; Gachago, 2012; Clarke &amp; Nelson, 2012).  Students that participated in learning communities have shown higher achievement, increased involvement in activities, and had greater satisfaction in their education (Zhao &amp; Kuh, 2004).  Social networks are essentially learning communities that can help students connect with relevant and pertinent information and building</w:t>
      </w:r>
      <w:r>
        <w:rPr>
          <w:highlight w:val="white"/>
        </w:rPr>
        <w:t xml:space="preserve"> connections to the source of knowledge (Siemens, 2005).  </w:t>
      </w:r>
    </w:p>
    <w:p w:rsidR="00027068" w:rsidRDefault="00027068" w:rsidP="00027068">
      <w:pPr>
        <w:pStyle w:val="Heading3"/>
      </w:pPr>
      <w:bookmarkStart w:id="11" w:name="h.30j0zll" w:colFirst="0" w:colLast="0"/>
      <w:bookmarkEnd w:id="11"/>
      <w:r>
        <w:t>Purpose</w:t>
      </w:r>
    </w:p>
    <w:p w:rsidR="00027068" w:rsidRDefault="00027068" w:rsidP="00027068">
      <w:r>
        <w:t>The primary purpose of this article is to present data from two studies conducted by (Author 1, 2014) and (Author 2, 2014) in different postsecondary settings that utilized Twitter as a student engagement platform.  Both studies focused on distributing information to students through a spaced practiced method. Neither study provided an ongoing dialogue or answered questions through Twitter, but by using Twitter as a means of distributing concept information, the researchers wanted to determine if student engagement would still be enhanced.</w:t>
      </w:r>
    </w:p>
    <w:p w:rsidR="00027068" w:rsidRDefault="00027068" w:rsidP="00027068">
      <w:r>
        <w:t>The research questions that were posed in these studies were as follows:</w:t>
      </w:r>
    </w:p>
    <w:p w:rsidR="00027068" w:rsidRPr="00141C6A" w:rsidRDefault="00027068" w:rsidP="00141C6A">
      <w:pPr>
        <w:ind w:left="360" w:right="360"/>
        <w:rPr>
          <w:i/>
        </w:rPr>
      </w:pPr>
      <w:r w:rsidRPr="00141C6A">
        <w:rPr>
          <w:i/>
        </w:rPr>
        <w:t xml:space="preserve">Does utilizing Twitter as an information distribution tool for concept learning provide any enhancement in student engagement? </w:t>
      </w:r>
    </w:p>
    <w:p w:rsidR="00027068" w:rsidRPr="00141C6A" w:rsidRDefault="00027068" w:rsidP="00141C6A">
      <w:pPr>
        <w:ind w:left="360" w:right="360"/>
        <w:rPr>
          <w:i/>
        </w:rPr>
      </w:pPr>
      <w:r w:rsidRPr="00141C6A">
        <w:rPr>
          <w:i/>
        </w:rPr>
        <w:t>Is Twitter user-friendly for all stakeholders, students as well as the professor, when incorporated into instructional technology?</w:t>
      </w:r>
    </w:p>
    <w:p w:rsidR="00027068" w:rsidRDefault="00027068" w:rsidP="00027068">
      <w:pPr>
        <w:pStyle w:val="Heading3"/>
      </w:pPr>
      <w:r>
        <w:t>Methodology</w:t>
      </w:r>
    </w:p>
    <w:p w:rsidR="00027068" w:rsidRDefault="00027068" w:rsidP="00141C6A">
      <w:r>
        <w:t>Both studies took place at private, regionally accredited higher education institutions in Pennsylvania. Each study implemented a mixed-methods approach featuring quasi-experimental research for the quantitative portion in addition to survey research and interviews for the qualitative portion.  T-test analyses in both studies indicated that Twitter did not impact the exam scores relative to concept learning, but the surveys and interviews showed an impact on student engagement as well as implications for future research.</w:t>
      </w:r>
    </w:p>
    <w:p w:rsidR="00027068" w:rsidRDefault="00027068" w:rsidP="00027068">
      <w:pPr>
        <w:pStyle w:val="Heading3"/>
      </w:pPr>
      <w:r>
        <w:t>Study A</w:t>
      </w:r>
    </w:p>
    <w:p w:rsidR="00027068" w:rsidRDefault="00027068" w:rsidP="00141C6A">
      <w:r>
        <w:t>The first study conducted by (Author 1, 2014) utilized 20 participants from an introductory United States history course, which was part of the required curriculum for undergraduate students at the host institution.  For the quantitative methodology, subjects were randomly placed into two groups, one treatment group that received tweets with characteristics, examples, and non-examples of 15 primary concepts from their course material, and another that received the same information in a review worksheet.  Immediately following the treatment, each group was tested for concept learning and scores from each group were compared.  The concept test consisted of 15 multiple choice questions developed by the host professor that covered the concepts reviewed in the study.</w:t>
      </w:r>
    </w:p>
    <w:p w:rsidR="00027068" w:rsidRDefault="00027068" w:rsidP="00141C6A">
      <w:r>
        <w:t xml:space="preserve">Exam scores from the previous unit exam served as a measurement to show that there were no significant differences between the two groups at the start.  Once the experiment started, a tweet with characteristics, an example, and a non-example was created for each concept.  Pre-scheduled tweets went out three times per day per concept. Tweets for two class concepts were tweeted in a typical day, and those tweets would typically be staggered by an hour in the morning, afternoon, </w:t>
      </w:r>
      <w:r>
        <w:lastRenderedPageBreak/>
        <w:t xml:space="preserve">and night. The same tweets for each concept were tweeted out again later in the experiment to create a spacing effect.  Each tweet was followed by a hashtag that was developed for the class. </w:t>
      </w:r>
    </w:p>
    <w:p w:rsidR="00027068" w:rsidRDefault="00027068" w:rsidP="00141C6A">
      <w:r>
        <w:t>Throughout the duration of the study, the instructor did not discuss the tweets with students, and tweets were not directed to any of the students in the study. Students were given a survey, which was used to determine their level of engagement in the class and their comfort level with Twitter, in addition to other demographic questions.  The survey included open-ended questions where students were asked to comment about their experience during the study.</w:t>
      </w:r>
      <w:r>
        <w:rPr>
          <w:b/>
          <w:sz w:val="28"/>
        </w:rPr>
        <w:t xml:space="preserve"> </w:t>
      </w:r>
    </w:p>
    <w:p w:rsidR="00027068" w:rsidRDefault="00027068" w:rsidP="00027068">
      <w:pPr>
        <w:pStyle w:val="Heading4"/>
      </w:pPr>
      <w:r>
        <w:t>Survey instrument</w:t>
      </w:r>
    </w:p>
    <w:p w:rsidR="00027068" w:rsidRDefault="00027068" w:rsidP="00141C6A">
      <w:r>
        <w:t>The survey was adapted from a survey constructed by a social media committee at the host institution, which included various university constituents including faculty, staff, and one student that had interest in determining how social media was being used across campus educationally, professionally, and personally.</w:t>
      </w:r>
      <w:r w:rsidR="00ED0CEF">
        <w:t xml:space="preserve">  </w:t>
      </w:r>
      <w:r>
        <w:t>All questions were adapted for the purposes of this study and were reviewed by the host instructor, a faculty committee, and institutional review board prior to distribution.  The survey included five items that were related to student engagement and user friendliness as well as seven open-ended questions.</w:t>
      </w:r>
    </w:p>
    <w:p w:rsidR="00027068" w:rsidRDefault="00027068" w:rsidP="00141C6A">
      <w:r>
        <w:t>Cronbach’s alpha (</w:t>
      </w:r>
      <w:r>
        <w:rPr>
          <w:i/>
        </w:rPr>
        <w:t>α</w:t>
      </w:r>
      <w:r>
        <w:t>) was used to determine the internal consistency within sections of the survey.  Two major sections of questions were analyzed for internal reliability and were found to have good reliability based on Cronbach’s alpha (</w:t>
      </w:r>
      <w:r>
        <w:rPr>
          <w:i/>
        </w:rPr>
        <w:t>α = 0.78</w:t>
      </w:r>
      <w:r>
        <w:t>) and (</w:t>
      </w:r>
      <w:r>
        <w:rPr>
          <w:i/>
        </w:rPr>
        <w:t>α = 0.79</w:t>
      </w:r>
      <w:r>
        <w:t xml:space="preserve">). </w:t>
      </w:r>
    </w:p>
    <w:p w:rsidR="00027068" w:rsidRDefault="00027068" w:rsidP="00027068">
      <w:pPr>
        <w:pStyle w:val="Heading3"/>
      </w:pPr>
      <w:r>
        <w:t>Survey analysis</w:t>
      </w:r>
      <w:bookmarkStart w:id="12" w:name="h.3znysh7" w:colFirst="0" w:colLast="0"/>
      <w:bookmarkEnd w:id="12"/>
    </w:p>
    <w:p w:rsidR="00027068" w:rsidRDefault="00027068" w:rsidP="00027068">
      <w:pPr>
        <w:pStyle w:val="Heading4"/>
      </w:pPr>
      <w:r>
        <w:t>Summary of survey findings</w:t>
      </w:r>
    </w:p>
    <w:p w:rsidR="00027068" w:rsidRDefault="00027068" w:rsidP="00141C6A">
      <w:r>
        <w:t>Eighty percent (80%) of the students who participated in the study submitted their surveys. All but two survey respondents had a Twitter account prior to this study, and the instructor stated in his interview that the one student that expressed that they didn’t have an account said that they chose not to and knew easily how to set one up for this unit.  Twitter (93.8%) and Facebook (93.8%) were the social media platforms that were most widely used by respondents, while blogs (6.25%), Flickr (6.25%), and LinkedIn (12.5%) were the least used.</w:t>
      </w:r>
    </w:p>
    <w:p w:rsidR="00027068" w:rsidRDefault="00027068" w:rsidP="00141C6A">
      <w:pPr>
        <w:pStyle w:val="Heading4"/>
      </w:pPr>
      <w:bookmarkStart w:id="13" w:name="h.2et92p0" w:colFirst="0" w:colLast="0"/>
      <w:bookmarkStart w:id="14" w:name="h.tyjcwt" w:colFirst="0" w:colLast="0"/>
      <w:bookmarkEnd w:id="13"/>
      <w:bookmarkEnd w:id="14"/>
      <w:r>
        <w:t xml:space="preserve">Student engagement </w:t>
      </w:r>
    </w:p>
    <w:p w:rsidR="00027068" w:rsidRDefault="00027068" w:rsidP="00141C6A">
      <w:r>
        <w:t>There were five survey items related to student engagement that asked respondents to agree or disagree with on a Likert Scale with the following values (strongly agree = 4, agree = 3, neutral = 2, disagree = 1, and strongly disagree = 0).</w:t>
      </w:r>
      <w:r w:rsidR="00ED0CEF">
        <w:t xml:space="preserve">  </w:t>
      </w:r>
      <w:r>
        <w:t>The item with the highest score of the three student engagement questions was for the item that asked students to compare Twitter’s use as a collaborative tool with Blackboard.</w:t>
      </w:r>
      <w:r w:rsidR="00ED0CEF">
        <w:t xml:space="preserve">  </w:t>
      </w:r>
      <w:r>
        <w:t>This was an interesting takeaway as Twitter provides an open, free, and less formal platform for communication than a typical learning management system such as Blackboard.</w:t>
      </w:r>
      <w:r w:rsidR="00ED0CEF">
        <w:t xml:space="preserve">  </w:t>
      </w:r>
      <w:r>
        <w:t>The first three items were related to student engagement in the unit and the results are displayed in Table 1.</w:t>
      </w:r>
    </w:p>
    <w:p w:rsidR="00027068" w:rsidRDefault="00027068" w:rsidP="00141C6A">
      <w:pPr>
        <w:pStyle w:val="Heading5"/>
      </w:pPr>
      <w:r>
        <w:t>Table 1</w:t>
      </w:r>
    </w:p>
    <w:p w:rsidR="00027068" w:rsidRDefault="00027068" w:rsidP="00141C6A">
      <w:pPr>
        <w:pStyle w:val="Heading5"/>
      </w:pPr>
      <w:r>
        <w:rPr>
          <w:i/>
        </w:rPr>
        <w:t xml:space="preserve">Mean +/- SD </w:t>
      </w:r>
      <w:r w:rsidR="00446D28">
        <w:rPr>
          <w:i/>
        </w:rPr>
        <w:t>scores for student engagement responses</w:t>
      </w:r>
    </w:p>
    <w:tbl>
      <w:tblPr>
        <w:tblW w:w="7288" w:type="dxa"/>
        <w:jc w:val="center"/>
        <w:tblLayout w:type="fixed"/>
        <w:tblLook w:val="0400" w:firstRow="0" w:lastRow="0" w:firstColumn="0" w:lastColumn="0" w:noHBand="0" w:noVBand="1"/>
      </w:tblPr>
      <w:tblGrid>
        <w:gridCol w:w="5444"/>
        <w:gridCol w:w="783"/>
        <w:gridCol w:w="1061"/>
      </w:tblGrid>
      <w:tr w:rsidR="00027068" w:rsidRPr="00141C6A" w:rsidTr="00027068">
        <w:trPr>
          <w:trHeight w:val="377"/>
          <w:jc w:val="center"/>
        </w:trPr>
        <w:tc>
          <w:tcPr>
            <w:tcW w:w="5444" w:type="dxa"/>
            <w:tcBorders>
              <w:top w:val="single" w:sz="4" w:space="0" w:color="000000"/>
              <w:left w:val="single" w:sz="6" w:space="0" w:color="FFFFFF"/>
              <w:bottom w:val="single" w:sz="4" w:space="0" w:color="000000"/>
              <w:right w:val="single" w:sz="6" w:space="0" w:color="FFFFFF"/>
            </w:tcBorders>
            <w:tcMar>
              <w:left w:w="105" w:type="dxa"/>
              <w:right w:w="105" w:type="dxa"/>
            </w:tcMar>
          </w:tcPr>
          <w:p w:rsidR="00027068" w:rsidRPr="00141C6A" w:rsidRDefault="00027068" w:rsidP="00141C6A">
            <w:pPr>
              <w:spacing w:before="120"/>
              <w:jc w:val="center"/>
              <w:rPr>
                <w:rFonts w:ascii="Arial" w:hAnsi="Arial" w:cs="Arial"/>
                <w:b/>
                <w:sz w:val="20"/>
              </w:rPr>
            </w:pPr>
            <w:r w:rsidRPr="00141C6A">
              <w:rPr>
                <w:rFonts w:ascii="Arial" w:hAnsi="Arial" w:cs="Arial"/>
                <w:b/>
                <w:sz w:val="20"/>
              </w:rPr>
              <w:t>Category</w:t>
            </w:r>
          </w:p>
        </w:tc>
        <w:tc>
          <w:tcPr>
            <w:tcW w:w="783" w:type="dxa"/>
            <w:tcBorders>
              <w:top w:val="single" w:sz="4" w:space="0" w:color="000000"/>
              <w:left w:val="single" w:sz="6" w:space="0" w:color="FFFFFF"/>
              <w:bottom w:val="single" w:sz="4" w:space="0" w:color="000000"/>
              <w:right w:val="single" w:sz="6" w:space="0" w:color="FFFFFF"/>
            </w:tcBorders>
            <w:tcMar>
              <w:left w:w="105" w:type="dxa"/>
              <w:right w:w="105" w:type="dxa"/>
            </w:tcMar>
          </w:tcPr>
          <w:p w:rsidR="00027068" w:rsidRPr="00141C6A" w:rsidRDefault="00027068" w:rsidP="00141C6A">
            <w:pPr>
              <w:spacing w:before="120"/>
              <w:jc w:val="center"/>
              <w:rPr>
                <w:rFonts w:ascii="Arial" w:hAnsi="Arial" w:cs="Arial"/>
                <w:b/>
                <w:sz w:val="20"/>
              </w:rPr>
            </w:pPr>
            <w:r w:rsidRPr="00141C6A">
              <w:rPr>
                <w:rFonts w:ascii="Arial" w:hAnsi="Arial" w:cs="Arial"/>
                <w:b/>
                <w:sz w:val="20"/>
              </w:rPr>
              <w:t>Mean</w:t>
            </w:r>
          </w:p>
        </w:tc>
        <w:tc>
          <w:tcPr>
            <w:tcW w:w="1061" w:type="dxa"/>
            <w:tcBorders>
              <w:top w:val="single" w:sz="4" w:space="0" w:color="000000"/>
              <w:left w:val="single" w:sz="6" w:space="0" w:color="FFFFFF"/>
              <w:bottom w:val="single" w:sz="4" w:space="0" w:color="000000"/>
              <w:right w:val="single" w:sz="6" w:space="0" w:color="FFFFFF"/>
            </w:tcBorders>
            <w:tcMar>
              <w:left w:w="105" w:type="dxa"/>
              <w:right w:w="105" w:type="dxa"/>
            </w:tcMar>
          </w:tcPr>
          <w:p w:rsidR="00027068" w:rsidRPr="00141C6A" w:rsidRDefault="00027068" w:rsidP="00141C6A">
            <w:pPr>
              <w:spacing w:before="120"/>
              <w:jc w:val="center"/>
              <w:rPr>
                <w:rFonts w:ascii="Arial" w:hAnsi="Arial" w:cs="Arial"/>
                <w:b/>
                <w:sz w:val="20"/>
              </w:rPr>
            </w:pPr>
            <w:r w:rsidRPr="00141C6A">
              <w:rPr>
                <w:rFonts w:ascii="Arial" w:hAnsi="Arial" w:cs="Arial"/>
                <w:b/>
                <w:sz w:val="20"/>
              </w:rPr>
              <w:t>SD</w:t>
            </w:r>
          </w:p>
        </w:tc>
      </w:tr>
      <w:tr w:rsidR="00027068" w:rsidTr="00027068">
        <w:trPr>
          <w:trHeight w:val="242"/>
          <w:jc w:val="center"/>
        </w:trPr>
        <w:tc>
          <w:tcPr>
            <w:tcW w:w="5444" w:type="dxa"/>
            <w:tcBorders>
              <w:top w:val="single" w:sz="4" w:space="0" w:color="000000"/>
              <w:left w:val="single" w:sz="6" w:space="0" w:color="FFFFFF"/>
              <w:bottom w:val="single" w:sz="6" w:space="0" w:color="FFFFFF"/>
              <w:right w:val="single" w:sz="6" w:space="0" w:color="FFFFFF"/>
            </w:tcBorders>
            <w:tcMar>
              <w:left w:w="105" w:type="dxa"/>
              <w:right w:w="105" w:type="dxa"/>
            </w:tcMar>
          </w:tcPr>
          <w:p w:rsidR="00027068" w:rsidRPr="00141C6A" w:rsidRDefault="00027068" w:rsidP="00141C6A">
            <w:pPr>
              <w:spacing w:before="120"/>
            </w:pPr>
            <w:r w:rsidRPr="00141C6A">
              <w:t>More Engaged than in Other Classes</w:t>
            </w:r>
          </w:p>
        </w:tc>
        <w:tc>
          <w:tcPr>
            <w:tcW w:w="783" w:type="dxa"/>
            <w:tcBorders>
              <w:top w:val="single" w:sz="4" w:space="0" w:color="000000"/>
              <w:left w:val="single" w:sz="6" w:space="0" w:color="FFFFFF"/>
              <w:bottom w:val="single" w:sz="6" w:space="0" w:color="FFFFFF"/>
              <w:right w:val="single" w:sz="6" w:space="0" w:color="FFFFFF"/>
            </w:tcBorders>
            <w:tcMar>
              <w:left w:w="105" w:type="dxa"/>
              <w:right w:w="105" w:type="dxa"/>
            </w:tcMar>
          </w:tcPr>
          <w:p w:rsidR="00027068" w:rsidRPr="00141C6A" w:rsidRDefault="00027068" w:rsidP="00141C6A">
            <w:pPr>
              <w:spacing w:before="120"/>
            </w:pPr>
            <w:r w:rsidRPr="00141C6A">
              <w:t>2.56</w:t>
            </w:r>
          </w:p>
        </w:tc>
        <w:tc>
          <w:tcPr>
            <w:tcW w:w="1061" w:type="dxa"/>
            <w:tcBorders>
              <w:top w:val="single" w:sz="4" w:space="0" w:color="000000"/>
              <w:left w:val="single" w:sz="6" w:space="0" w:color="FFFFFF"/>
              <w:bottom w:val="single" w:sz="6" w:space="0" w:color="FFFFFF"/>
              <w:right w:val="single" w:sz="6" w:space="0" w:color="FFFFFF"/>
            </w:tcBorders>
            <w:tcMar>
              <w:left w:w="105" w:type="dxa"/>
              <w:right w:w="105" w:type="dxa"/>
            </w:tcMar>
          </w:tcPr>
          <w:p w:rsidR="00027068" w:rsidRPr="00141C6A" w:rsidRDefault="00027068" w:rsidP="00141C6A">
            <w:pPr>
              <w:spacing w:before="120"/>
            </w:pPr>
            <w:r w:rsidRPr="00141C6A">
              <w:t>.81</w:t>
            </w:r>
          </w:p>
        </w:tc>
      </w:tr>
      <w:tr w:rsidR="00027068" w:rsidTr="00027068">
        <w:trPr>
          <w:trHeight w:val="282"/>
          <w:jc w:val="center"/>
        </w:trPr>
        <w:tc>
          <w:tcPr>
            <w:tcW w:w="5444" w:type="dxa"/>
            <w:tcBorders>
              <w:top w:val="single" w:sz="6" w:space="0" w:color="FFFFFF"/>
              <w:left w:val="single" w:sz="6" w:space="0" w:color="FFFFFF"/>
              <w:bottom w:val="single" w:sz="6" w:space="0" w:color="FFFFFF"/>
              <w:right w:val="single" w:sz="6" w:space="0" w:color="FFFFFF"/>
            </w:tcBorders>
            <w:tcMar>
              <w:left w:w="105" w:type="dxa"/>
              <w:right w:w="105" w:type="dxa"/>
            </w:tcMar>
          </w:tcPr>
          <w:p w:rsidR="00027068" w:rsidRPr="00141C6A" w:rsidRDefault="00027068" w:rsidP="00141C6A">
            <w:pPr>
              <w:spacing w:before="120"/>
            </w:pPr>
            <w:r w:rsidRPr="00141C6A">
              <w:t>Interacted with Peers</w:t>
            </w:r>
            <w:r w:rsidRPr="00141C6A">
              <w:rPr>
                <w:vertAlign w:val="superscript"/>
              </w:rPr>
              <w:t xml:space="preserve"> </w:t>
            </w:r>
            <w:r w:rsidRPr="00141C6A">
              <w:t>More Frequently</w:t>
            </w:r>
          </w:p>
        </w:tc>
        <w:tc>
          <w:tcPr>
            <w:tcW w:w="783" w:type="dxa"/>
            <w:tcBorders>
              <w:top w:val="single" w:sz="6" w:space="0" w:color="FFFFFF"/>
              <w:left w:val="single" w:sz="6" w:space="0" w:color="FFFFFF"/>
              <w:bottom w:val="single" w:sz="6" w:space="0" w:color="FFFFFF"/>
              <w:right w:val="single" w:sz="6" w:space="0" w:color="FFFFFF"/>
            </w:tcBorders>
            <w:tcMar>
              <w:left w:w="105" w:type="dxa"/>
              <w:right w:w="105" w:type="dxa"/>
            </w:tcMar>
          </w:tcPr>
          <w:p w:rsidR="00027068" w:rsidRPr="00141C6A" w:rsidRDefault="00027068" w:rsidP="00141C6A">
            <w:pPr>
              <w:spacing w:before="120"/>
            </w:pPr>
            <w:r w:rsidRPr="00141C6A">
              <w:t>1.34</w:t>
            </w:r>
          </w:p>
        </w:tc>
        <w:tc>
          <w:tcPr>
            <w:tcW w:w="1061" w:type="dxa"/>
            <w:tcBorders>
              <w:top w:val="single" w:sz="6" w:space="0" w:color="FFFFFF"/>
              <w:left w:val="single" w:sz="6" w:space="0" w:color="FFFFFF"/>
              <w:bottom w:val="single" w:sz="6" w:space="0" w:color="FFFFFF"/>
              <w:right w:val="single" w:sz="6" w:space="0" w:color="FFFFFF"/>
            </w:tcBorders>
            <w:tcMar>
              <w:left w:w="105" w:type="dxa"/>
              <w:right w:w="105" w:type="dxa"/>
            </w:tcMar>
          </w:tcPr>
          <w:p w:rsidR="00027068" w:rsidRPr="00141C6A" w:rsidRDefault="00027068" w:rsidP="00141C6A">
            <w:pPr>
              <w:spacing w:before="120"/>
            </w:pPr>
            <w:r w:rsidRPr="00141C6A">
              <w:t>.72</w:t>
            </w:r>
          </w:p>
        </w:tc>
      </w:tr>
      <w:tr w:rsidR="00027068" w:rsidTr="00027068">
        <w:trPr>
          <w:trHeight w:val="309"/>
          <w:jc w:val="center"/>
        </w:trPr>
        <w:tc>
          <w:tcPr>
            <w:tcW w:w="5444" w:type="dxa"/>
            <w:tcBorders>
              <w:top w:val="single" w:sz="6" w:space="0" w:color="FFFFFF"/>
              <w:left w:val="single" w:sz="6" w:space="0" w:color="FFFFFF"/>
              <w:bottom w:val="single" w:sz="6" w:space="0" w:color="FFFFFF"/>
              <w:right w:val="single" w:sz="6" w:space="0" w:color="FFFFFF"/>
            </w:tcBorders>
            <w:tcMar>
              <w:left w:w="105" w:type="dxa"/>
              <w:right w:w="105" w:type="dxa"/>
            </w:tcMar>
          </w:tcPr>
          <w:p w:rsidR="00027068" w:rsidRPr="00141C6A" w:rsidRDefault="00027068" w:rsidP="00141C6A">
            <w:pPr>
              <w:spacing w:before="120"/>
            </w:pPr>
            <w:r w:rsidRPr="00141C6A">
              <w:t>Better Collaborative Tool</w:t>
            </w:r>
            <w:r w:rsidRPr="00141C6A">
              <w:rPr>
                <w:vertAlign w:val="superscript"/>
              </w:rPr>
              <w:t xml:space="preserve"> </w:t>
            </w:r>
            <w:r w:rsidRPr="00141C6A">
              <w:t>than Blackboard</w:t>
            </w:r>
          </w:p>
        </w:tc>
        <w:tc>
          <w:tcPr>
            <w:tcW w:w="783" w:type="dxa"/>
            <w:tcBorders>
              <w:top w:val="single" w:sz="6" w:space="0" w:color="FFFFFF"/>
              <w:left w:val="single" w:sz="6" w:space="0" w:color="FFFFFF"/>
              <w:bottom w:val="single" w:sz="6" w:space="0" w:color="FFFFFF"/>
              <w:right w:val="single" w:sz="6" w:space="0" w:color="FFFFFF"/>
            </w:tcBorders>
            <w:tcMar>
              <w:left w:w="105" w:type="dxa"/>
              <w:right w:w="105" w:type="dxa"/>
            </w:tcMar>
          </w:tcPr>
          <w:p w:rsidR="00027068" w:rsidRPr="00141C6A" w:rsidRDefault="00027068" w:rsidP="00141C6A">
            <w:pPr>
              <w:spacing w:before="120"/>
            </w:pPr>
            <w:r w:rsidRPr="00141C6A">
              <w:t>2.81</w:t>
            </w:r>
          </w:p>
        </w:tc>
        <w:tc>
          <w:tcPr>
            <w:tcW w:w="1061" w:type="dxa"/>
            <w:tcBorders>
              <w:top w:val="single" w:sz="6" w:space="0" w:color="FFFFFF"/>
              <w:left w:val="single" w:sz="6" w:space="0" w:color="FFFFFF"/>
              <w:bottom w:val="single" w:sz="6" w:space="0" w:color="FFFFFF"/>
              <w:right w:val="single" w:sz="6" w:space="0" w:color="FFFFFF"/>
            </w:tcBorders>
            <w:tcMar>
              <w:left w:w="105" w:type="dxa"/>
              <w:right w:w="105" w:type="dxa"/>
            </w:tcMar>
          </w:tcPr>
          <w:p w:rsidR="00027068" w:rsidRPr="00141C6A" w:rsidRDefault="00027068" w:rsidP="00141C6A">
            <w:pPr>
              <w:spacing w:before="120"/>
            </w:pPr>
            <w:r w:rsidRPr="00141C6A">
              <w:t>.98</w:t>
            </w:r>
          </w:p>
        </w:tc>
      </w:tr>
      <w:tr w:rsidR="00027068" w:rsidTr="00141C6A">
        <w:trPr>
          <w:trHeight w:val="399"/>
          <w:jc w:val="center"/>
        </w:trPr>
        <w:tc>
          <w:tcPr>
            <w:tcW w:w="5444" w:type="dxa"/>
            <w:tcBorders>
              <w:top w:val="single" w:sz="6" w:space="0" w:color="FFFFFF"/>
              <w:left w:val="single" w:sz="6" w:space="0" w:color="FFFFFF"/>
              <w:bottom w:val="single" w:sz="6" w:space="0" w:color="FFFFFF"/>
              <w:right w:val="single" w:sz="6" w:space="0" w:color="FFFFFF"/>
            </w:tcBorders>
            <w:tcMar>
              <w:left w:w="105" w:type="dxa"/>
              <w:right w:w="105" w:type="dxa"/>
            </w:tcMar>
          </w:tcPr>
          <w:p w:rsidR="00027068" w:rsidRPr="00141C6A" w:rsidRDefault="00027068" w:rsidP="00141C6A">
            <w:pPr>
              <w:spacing w:before="120"/>
            </w:pPr>
            <w:r w:rsidRPr="00141C6A">
              <w:lastRenderedPageBreak/>
              <w:t>Like to See Twitter Used Similarly in Other Courses</w:t>
            </w:r>
          </w:p>
        </w:tc>
        <w:tc>
          <w:tcPr>
            <w:tcW w:w="783" w:type="dxa"/>
            <w:tcBorders>
              <w:top w:val="single" w:sz="6" w:space="0" w:color="FFFFFF"/>
              <w:left w:val="single" w:sz="6" w:space="0" w:color="FFFFFF"/>
              <w:bottom w:val="single" w:sz="6" w:space="0" w:color="FFFFFF"/>
              <w:right w:val="single" w:sz="6" w:space="0" w:color="FFFFFF"/>
            </w:tcBorders>
            <w:tcMar>
              <w:left w:w="105" w:type="dxa"/>
              <w:right w:w="105" w:type="dxa"/>
            </w:tcMar>
          </w:tcPr>
          <w:p w:rsidR="00027068" w:rsidRPr="00141C6A" w:rsidRDefault="00027068" w:rsidP="00141C6A">
            <w:pPr>
              <w:spacing w:before="120"/>
            </w:pPr>
            <w:r w:rsidRPr="00141C6A">
              <w:t>2.81</w:t>
            </w:r>
          </w:p>
        </w:tc>
        <w:tc>
          <w:tcPr>
            <w:tcW w:w="1061" w:type="dxa"/>
            <w:tcBorders>
              <w:top w:val="single" w:sz="6" w:space="0" w:color="FFFFFF"/>
              <w:left w:val="single" w:sz="6" w:space="0" w:color="FFFFFF"/>
              <w:bottom w:val="single" w:sz="6" w:space="0" w:color="FFFFFF"/>
              <w:right w:val="single" w:sz="6" w:space="0" w:color="FFFFFF"/>
            </w:tcBorders>
            <w:tcMar>
              <w:left w:w="105" w:type="dxa"/>
              <w:right w:w="105" w:type="dxa"/>
            </w:tcMar>
          </w:tcPr>
          <w:p w:rsidR="00027068" w:rsidRPr="00141C6A" w:rsidRDefault="00027068" w:rsidP="00141C6A">
            <w:pPr>
              <w:spacing w:before="120"/>
            </w:pPr>
            <w:r w:rsidRPr="00141C6A">
              <w:t>1.05</w:t>
            </w:r>
          </w:p>
        </w:tc>
      </w:tr>
    </w:tbl>
    <w:p w:rsidR="00027068" w:rsidRPr="00141C6A" w:rsidRDefault="00027068" w:rsidP="00141C6A">
      <w:pPr>
        <w:ind w:left="360" w:right="360"/>
        <w:rPr>
          <w:sz w:val="18"/>
          <w:szCs w:val="18"/>
        </w:rPr>
      </w:pPr>
      <w:r w:rsidRPr="00141C6A">
        <w:rPr>
          <w:i/>
          <w:sz w:val="18"/>
          <w:szCs w:val="18"/>
        </w:rPr>
        <w:t>Note.</w:t>
      </w:r>
      <w:r w:rsidR="00ED0CEF">
        <w:rPr>
          <w:i/>
          <w:sz w:val="18"/>
          <w:szCs w:val="18"/>
        </w:rPr>
        <w:t xml:space="preserve">  </w:t>
      </w:r>
      <w:r w:rsidRPr="00141C6A">
        <w:rPr>
          <w:sz w:val="18"/>
          <w:szCs w:val="18"/>
        </w:rPr>
        <w:t>The mean score reflects answers to student engagement items on the student survey scored on a Likert Scale with a scale of (strongly agree = 4, agree = 3, neutral = 2, disagree = 1, and strongly disagree = 0).</w:t>
      </w:r>
      <w:bookmarkStart w:id="15" w:name="h.3dy6vkm" w:colFirst="0" w:colLast="0"/>
      <w:bookmarkEnd w:id="15"/>
    </w:p>
    <w:p w:rsidR="00027068" w:rsidRDefault="00027068" w:rsidP="00141C6A">
      <w:pPr>
        <w:pStyle w:val="Heading4"/>
      </w:pPr>
      <w:r>
        <w:t>Frequency of usage</w:t>
      </w:r>
    </w:p>
    <w:p w:rsidR="00027068" w:rsidRDefault="00027068" w:rsidP="00ED0CEF">
      <w:r>
        <w:t>The lowest scored item in the student engagement section asked students to assess whether they interacted more with peers during the study than they did in another course.</w:t>
      </w:r>
      <w:r w:rsidR="00ED0CEF">
        <w:t xml:space="preserve">  </w:t>
      </w:r>
      <w:r>
        <w:t>This response corresponded with a related question on the survey, which asked students to assess how frequently they tweeted during the study.</w:t>
      </w:r>
      <w:r w:rsidR="00ED0CEF">
        <w:t xml:space="preserve">  </w:t>
      </w:r>
      <w:r>
        <w:t>Using a point scale ranging from (7 = more than once per hour, 6 = hourly, 5 = more than once daily, 4 = daily, 3 = 1-5 times per week, 2 = a few times per month, 1 = monthly or less, 0 = never) response scores were very low (</w:t>
      </w:r>
      <w:r>
        <w:rPr>
          <w:i/>
        </w:rPr>
        <w:t>M</w:t>
      </w:r>
      <w:r>
        <w:t xml:space="preserve"> = 0.75, </w:t>
      </w:r>
      <w:r>
        <w:rPr>
          <w:i/>
        </w:rPr>
        <w:t>SD</w:t>
      </w:r>
      <w:r>
        <w:t xml:space="preserve"> = 1.13).</w:t>
      </w:r>
      <w:r w:rsidR="00ED0CEF">
        <w:t xml:space="preserve">  </w:t>
      </w:r>
    </w:p>
    <w:p w:rsidR="00027068" w:rsidRDefault="00027068" w:rsidP="00141C6A">
      <w:pPr>
        <w:pStyle w:val="Heading4"/>
      </w:pPr>
      <w:bookmarkStart w:id="16" w:name="h.1t3h5sf" w:colFirst="0" w:colLast="0"/>
      <w:bookmarkEnd w:id="16"/>
      <w:r>
        <w:t>Ease of use</w:t>
      </w:r>
    </w:p>
    <w:p w:rsidR="00027068" w:rsidRDefault="00027068" w:rsidP="00141C6A">
      <w:r>
        <w:t>Based on the survey results and the interview with the instructor, Twitter was user-friendly and did not require any additional class time to train new users.</w:t>
      </w:r>
      <w:r w:rsidR="00ED0CEF">
        <w:t xml:space="preserve">  </w:t>
      </w:r>
      <w:r>
        <w:t>Additionally three students cited the easy to use interface of social media in their open-ended suggestions for educators, while one individual explained that Twitter had an “easier interface, more reliable than blackboard.” Using a scale of (strongly agree = 4, agree = 3, neutral = 2, disagree = 1, and strongly disagree = 0), respondents provided a high rating for Twitter’s ease of use (</w:t>
      </w:r>
      <w:r>
        <w:rPr>
          <w:i/>
        </w:rPr>
        <w:t>M</w:t>
      </w:r>
      <w:r>
        <w:t xml:space="preserve"> = 3.375, </w:t>
      </w:r>
      <w:r>
        <w:rPr>
          <w:i/>
        </w:rPr>
        <w:t>SD</w:t>
      </w:r>
      <w:r>
        <w:t xml:space="preserve"> = 0.719).</w:t>
      </w:r>
      <w:r w:rsidR="00ED0CEF">
        <w:t xml:space="preserve">  </w:t>
      </w:r>
    </w:p>
    <w:p w:rsidR="00027068" w:rsidRDefault="00027068" w:rsidP="00141C6A">
      <w:pPr>
        <w:pStyle w:val="Heading4"/>
      </w:pPr>
      <w:bookmarkStart w:id="17" w:name="h.4d34og8" w:colFirst="0" w:colLast="0"/>
      <w:bookmarkEnd w:id="17"/>
      <w:r>
        <w:t>Analysis of open-ended responses</w:t>
      </w:r>
    </w:p>
    <w:p w:rsidR="00027068" w:rsidRDefault="00027068" w:rsidP="00141C6A">
      <w:r>
        <w:t>There were a total of seven open-ended questions within the survey.</w:t>
      </w:r>
      <w:r w:rsidR="00ED0CEF">
        <w:t xml:space="preserve">  </w:t>
      </w:r>
      <w:r>
        <w:t>Creswell (2012) stated that data should be organized into themes in qualitative studies.</w:t>
      </w:r>
      <w:r w:rsidR="00ED0CEF">
        <w:t xml:space="preserve">  </w:t>
      </w:r>
      <w:r>
        <w:t>In order to determine themes from the open-ended survey responses, the data was collected and coded in a manner that Saldana (2012) calls “generic coding,” which includes a first cycle and second cycle phase of coding.</w:t>
      </w:r>
      <w:r w:rsidR="00ED0CEF">
        <w:t xml:space="preserve">  </w:t>
      </w:r>
    </w:p>
    <w:p w:rsidR="00027068" w:rsidRDefault="00027068" w:rsidP="00141C6A">
      <w:r>
        <w:t>Utilizing the suggestion of Liamputtong and Ezzy (2005), data was formatted into three columns rather than two.</w:t>
      </w:r>
      <w:r w:rsidR="00ED0CEF">
        <w:t xml:space="preserve">  </w:t>
      </w:r>
      <w:r>
        <w:t>In this case the first and widest column is the survey answers.</w:t>
      </w:r>
      <w:r w:rsidR="00ED0CEF">
        <w:t xml:space="preserve">  </w:t>
      </w:r>
      <w:r>
        <w:t>The second column contains the space for the first cycle or preliminary codes, and the third column lists the final codes or categories that developed.</w:t>
      </w:r>
      <w:r w:rsidR="00ED0CEF">
        <w:t xml:space="preserve">  </w:t>
      </w:r>
      <w:r>
        <w:t xml:space="preserve">Saldana (2012) explains that “the second column’s ruminations or first impressions may help provide a transition between the raw data and codes.” </w:t>
      </w:r>
    </w:p>
    <w:p w:rsidR="00027068" w:rsidRDefault="00027068" w:rsidP="00141C6A">
      <w:r>
        <w:t>The open-ended questions that generated the most feedback referenced student recommendations for educators with respect to using social media. While the question called for students to provide recommendations for social media use, the responses could be summarized in a few words.</w:t>
      </w:r>
      <w:r w:rsidR="00ED0CEF">
        <w:t xml:space="preserve">  </w:t>
      </w:r>
      <w:r>
        <w:t>Respondents found social media to be easy to use and understand, helpful in terms of their memory, popular among students, and useful.  One respondent recommended that the quality of information shared is most important for educators, and three others suggested using social media more often.</w:t>
      </w:r>
      <w:r w:rsidR="00ED0CEF">
        <w:t xml:space="preserve">  </w:t>
      </w:r>
      <w:r>
        <w:t>Several respondents’ answers could be classified in more than one category, with “usefulness” being the most commonly categorized response.</w:t>
      </w:r>
    </w:p>
    <w:p w:rsidR="00027068" w:rsidRDefault="00027068" w:rsidP="00141C6A">
      <w:pPr>
        <w:pStyle w:val="Heading3"/>
      </w:pPr>
      <w:r>
        <w:t>Study B</w:t>
      </w:r>
    </w:p>
    <w:p w:rsidR="00027068" w:rsidRDefault="00027068" w:rsidP="00141C6A">
      <w:r>
        <w:t xml:space="preserve">The second study conducted by (Author 2, 2014) took place in two sections of a college marketing course with 21 students in one section that were randomly selected as the control group and 20 students in another section that functioned as the treatment or Twitter group.  Both classes had the same instructor, used the same books, resource materials and facilities.  Students took multiple exams throughout the course that reviewed 6-8 marketing concepts.  Four of these concepts were selected for each of the exams and aspects of these principles were tweeted twice per day in a spaced practice format during the four week period before the test.  The researcher, who was not involved in the course beyond an initial training session, tweeted these messages that helped highlight aspects of concepts and linked to more information.  Students were only </w:t>
      </w:r>
      <w:r>
        <w:lastRenderedPageBreak/>
        <w:t xml:space="preserve">asked to follow the researcher on Twitter and were provided with details on what type of content would be posted.  They were not required to access Twitter each day, comment, or share information.  Additionally, the professor did not mention Twitter during his course or involve any of the tweeted content in his lectures.  </w:t>
      </w:r>
    </w:p>
    <w:p w:rsidR="00027068" w:rsidRDefault="00027068" w:rsidP="00141C6A">
      <w:r>
        <w:t>A mixed methods approach was used to gather the data in this research study.  The quantitative aspect involved gathering test results and running independent samples t tests in SPSS.  Analysis of the data did not indicate any significant differences in the achievement of the groups. Following the exam, each student was asked to complete a questionnaire which was reviewed by the host instructor prior to distribution. The researcher also conducted semi-scripted interviews that were recorded, transcribed and coded to identify patterns within the details.  A method of focus coding was used by the researcher by reading through the interview notes and categorizing common phrases and keywords in order to identify themes (Berg, 2007).</w:t>
      </w:r>
    </w:p>
    <w:p w:rsidR="00027068" w:rsidRDefault="00027068" w:rsidP="00141C6A">
      <w:pPr>
        <w:pStyle w:val="Heading4"/>
      </w:pPr>
      <w:r>
        <w:t>Student engagement</w:t>
      </w:r>
    </w:p>
    <w:p w:rsidR="00027068" w:rsidRDefault="00027068" w:rsidP="00141C6A">
      <w:r>
        <w:t>One of the primary research questions in Study B was how the tweets would affect student engagement.  Student survey questions and interviews as well as an interview with the marketing professor were used in a qualitative analysis to further understand engagement.  An important aspect of the research study was posting links to external articles, videos, graphics and additional content to help students better understand these concepts.  Additionally, it was also significant to evaluate Twitter as a platform for disseminating this content and its effects on student engagement.</w:t>
      </w:r>
    </w:p>
    <w:p w:rsidR="00027068" w:rsidRDefault="00027068" w:rsidP="00141C6A">
      <w:pPr>
        <w:pStyle w:val="Heading4"/>
      </w:pPr>
      <w:r>
        <w:t>Survey analysis – student engagement</w:t>
      </w:r>
    </w:p>
    <w:p w:rsidR="00027068" w:rsidRDefault="00027068" w:rsidP="00141C6A">
      <w:pPr>
        <w:keepNext/>
        <w:spacing w:before="120"/>
      </w:pPr>
      <w:r w:rsidRPr="00141C6A">
        <w:t>Once the tweets were posted on Twitter, it was important to identify if and how students were engaging with the information.  One question on the survey directly asked students to select how they engaged with the tweets.  Students were able to select more than one option that applied to their level of engagement.  The percentages of the total responses</w:t>
      </w:r>
      <w:r>
        <w:rPr>
          <w:rFonts w:ascii="Times New Roman" w:hAnsi="Times New Roman"/>
          <w:sz w:val="24"/>
        </w:rPr>
        <w:t xml:space="preserve"> from the students are </w:t>
      </w:r>
      <w:r>
        <w:rPr>
          <w:rFonts w:ascii="Times New Roman" w:hAnsi="Times New Roman"/>
          <w:sz w:val="24"/>
        </w:rPr>
        <w:lastRenderedPageBreak/>
        <w:t>detailed in Figure 1.</w:t>
      </w:r>
      <w:r w:rsidRPr="00651C68">
        <w:rPr>
          <w:noProof/>
        </w:rPr>
        <w:t xml:space="preserve"> </w:t>
      </w:r>
      <w:r>
        <w:rPr>
          <w:noProof/>
        </w:rPr>
        <w:drawing>
          <wp:inline distT="114300" distB="114300" distL="114300" distR="114300" wp14:anchorId="1670C42E" wp14:editId="7F22E43C">
            <wp:extent cx="5267325" cy="3067050"/>
            <wp:effectExtent l="0" t="0" r="0" b="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4"/>
                    <a:srcRect/>
                    <a:stretch>
                      <a:fillRect/>
                    </a:stretch>
                  </pic:blipFill>
                  <pic:spPr>
                    <a:xfrm>
                      <a:off x="0" y="0"/>
                      <a:ext cx="5267325" cy="3067050"/>
                    </a:xfrm>
                    <a:prstGeom prst="rect">
                      <a:avLst/>
                    </a:prstGeom>
                    <a:ln/>
                  </pic:spPr>
                </pic:pic>
              </a:graphicData>
            </a:graphic>
          </wp:inline>
        </w:drawing>
      </w:r>
      <w:bookmarkStart w:id="18" w:name="h.5bhr5amasxx9" w:colFirst="0" w:colLast="0"/>
      <w:bookmarkStart w:id="19" w:name="h.302zhfv7epr0" w:colFirst="0" w:colLast="0"/>
      <w:bookmarkEnd w:id="18"/>
      <w:bookmarkEnd w:id="19"/>
    </w:p>
    <w:p w:rsidR="00027068" w:rsidRDefault="00027068" w:rsidP="00141C6A">
      <w:pPr>
        <w:pStyle w:val="Heading5"/>
      </w:pPr>
      <w:r>
        <w:t xml:space="preserve">Figure 1.  Student response to Question #6 in the survey, which asked respondents </w:t>
      </w:r>
      <w:r w:rsidR="000E06A8">
        <w:br/>
      </w:r>
      <w:r>
        <w:t>how they engaged with the Tweets.</w:t>
      </w:r>
    </w:p>
    <w:p w:rsidR="00027068" w:rsidRDefault="00027068" w:rsidP="00141C6A">
      <w:r>
        <w:t>Forty-three responses were given from the 20 students in the Twitter group and 30% citing reading the information posted on the tweets as their primary method of engagement.  Clicking on the links within the tweets was second at 28% followed by viewing images or graphics at 23%.  Only 12% of students selected that they retweeted the information or shared the content with their followers on Twitter.  In reviewing the data, students were more apt to just read the content posted in the Tweets.  They did suggest that clicking on the links and viewing the images and graphics was also important. Since Twitter limits the content to 140 characters, it is important to move beyond the posted information to graphics, articles and additional details that further explain the concepts.</w:t>
      </w:r>
    </w:p>
    <w:p w:rsidR="00027068" w:rsidRDefault="00027068" w:rsidP="00141C6A">
      <w:r>
        <w:t xml:space="preserve">Additionally, it was interesting to note that the lowest level of engagement (2%) of student responses was viewing the profile of other users highlighted in the tweets.  An important aspect of the study was providing quality content from trusted sources for the students, and in 53% of the tweets, the username of a company, professor or organization was used within the message to highlight their profile.  Through the survey, the students did not review these profiles to gain more information, and only 15% of students liked the experts highlighted in the tweets.  </w:t>
      </w:r>
    </w:p>
    <w:p w:rsidR="00027068" w:rsidRDefault="00027068" w:rsidP="00141C6A">
      <w:bookmarkStart w:id="20" w:name="h.1nt1o5yakdbv" w:colFirst="0" w:colLast="0"/>
      <w:bookmarkEnd w:id="20"/>
      <w:r>
        <w:rPr>
          <w:color w:val="000000"/>
        </w:rPr>
        <w:t>Student Interview Analysis – Student Engagement</w:t>
      </w:r>
    </w:p>
    <w:p w:rsidR="00027068" w:rsidRDefault="00027068" w:rsidP="00141C6A">
      <w:r>
        <w:t xml:space="preserve">The five students (Students A – E) selected for the interviews were asked to clarify their responses from the student survey and provide more detail on how they engaged with the tweets posted by the researcher.  One of the interview questions asked these students about how they engaged with the information.  As interview responses were transcribed and coded, a category on engagement was developed.  This category is illustrated and broken out individually in Table 2. </w:t>
      </w:r>
    </w:p>
    <w:p w:rsidR="00027068" w:rsidRDefault="00027068" w:rsidP="00ED0CEF">
      <w:pPr>
        <w:pStyle w:val="Heading5"/>
      </w:pPr>
      <w:r>
        <w:t>Table 2</w:t>
      </w:r>
    </w:p>
    <w:p w:rsidR="00027068" w:rsidRDefault="00027068" w:rsidP="00ED0CEF">
      <w:pPr>
        <w:pStyle w:val="Heading5"/>
      </w:pPr>
      <w:bookmarkStart w:id="21" w:name="h.k7b5fdjfh9hx" w:colFirst="0" w:colLast="0"/>
      <w:bookmarkEnd w:id="21"/>
      <w:r>
        <w:rPr>
          <w:i/>
        </w:rPr>
        <w:t>Category developed from student interviews focusing on Twitter engagement</w:t>
      </w:r>
    </w:p>
    <w:tbl>
      <w:tblPr>
        <w:tblW w:w="5140" w:type="dxa"/>
        <w:jc w:val="center"/>
        <w:tblBorders>
          <w:top w:val="nil"/>
          <w:left w:val="nil"/>
          <w:bottom w:val="nil"/>
          <w:right w:val="nil"/>
          <w:insideH w:val="nil"/>
          <w:insideV w:val="nil"/>
        </w:tblBorders>
        <w:tblLayout w:type="fixed"/>
        <w:tblLook w:val="0600" w:firstRow="0" w:lastRow="0" w:firstColumn="0" w:lastColumn="0" w:noHBand="1" w:noVBand="1"/>
      </w:tblPr>
      <w:tblGrid>
        <w:gridCol w:w="3430"/>
        <w:gridCol w:w="1710"/>
      </w:tblGrid>
      <w:tr w:rsidR="00027068" w:rsidTr="00ED0CEF">
        <w:trPr>
          <w:trHeight w:val="141"/>
          <w:jc w:val="center"/>
        </w:trPr>
        <w:tc>
          <w:tcPr>
            <w:tcW w:w="3430" w:type="dxa"/>
            <w:tcBorders>
              <w:top w:val="single" w:sz="8" w:space="0" w:color="000000"/>
              <w:bottom w:val="single" w:sz="8" w:space="0" w:color="000000"/>
            </w:tcBorders>
            <w:tcMar>
              <w:top w:w="100" w:type="dxa"/>
              <w:left w:w="100" w:type="dxa"/>
              <w:bottom w:w="100" w:type="dxa"/>
              <w:right w:w="100" w:type="dxa"/>
            </w:tcMar>
            <w:vAlign w:val="bottom"/>
          </w:tcPr>
          <w:p w:rsidR="00027068" w:rsidRPr="00ED0CEF" w:rsidRDefault="00027068" w:rsidP="00ED0CEF">
            <w:pPr>
              <w:spacing w:after="60"/>
              <w:contextualSpacing/>
              <w:jc w:val="center"/>
              <w:rPr>
                <w:rFonts w:ascii="Arial" w:hAnsi="Arial" w:cs="Arial"/>
                <w:b/>
                <w:sz w:val="20"/>
              </w:rPr>
            </w:pPr>
            <w:r w:rsidRPr="00ED0CEF">
              <w:rPr>
                <w:rFonts w:ascii="Arial" w:hAnsi="Arial" w:cs="Arial"/>
                <w:b/>
                <w:sz w:val="20"/>
              </w:rPr>
              <w:t>Category: Engagement</w:t>
            </w:r>
          </w:p>
        </w:tc>
        <w:tc>
          <w:tcPr>
            <w:tcW w:w="1710" w:type="dxa"/>
            <w:tcBorders>
              <w:top w:val="single" w:sz="8" w:space="0" w:color="000000"/>
              <w:bottom w:val="single" w:sz="8" w:space="0" w:color="000000"/>
            </w:tcBorders>
            <w:tcMar>
              <w:top w:w="100" w:type="dxa"/>
              <w:left w:w="100" w:type="dxa"/>
              <w:bottom w:w="100" w:type="dxa"/>
              <w:right w:w="100" w:type="dxa"/>
            </w:tcMar>
          </w:tcPr>
          <w:p w:rsidR="00027068" w:rsidRDefault="00027068" w:rsidP="00027068">
            <w:pPr>
              <w:spacing w:after="60"/>
              <w:contextualSpacing/>
            </w:pPr>
            <w:r>
              <w:rPr>
                <w:rFonts w:ascii="Times New Roman" w:hAnsi="Times New Roman"/>
                <w:sz w:val="24"/>
              </w:rPr>
              <w:t xml:space="preserve"> </w:t>
            </w:r>
          </w:p>
        </w:tc>
      </w:tr>
      <w:tr w:rsidR="00027068" w:rsidTr="007F2452">
        <w:trPr>
          <w:trHeight w:val="179"/>
          <w:jc w:val="center"/>
        </w:trPr>
        <w:tc>
          <w:tcPr>
            <w:tcW w:w="3430" w:type="dxa"/>
            <w:tcMar>
              <w:top w:w="100" w:type="dxa"/>
              <w:left w:w="100" w:type="dxa"/>
              <w:bottom w:w="100" w:type="dxa"/>
              <w:right w:w="100" w:type="dxa"/>
            </w:tcMar>
            <w:vAlign w:val="center"/>
          </w:tcPr>
          <w:p w:rsidR="00027068" w:rsidRDefault="00027068" w:rsidP="00ED0CEF">
            <w:pPr>
              <w:spacing w:after="60"/>
              <w:contextualSpacing/>
            </w:pPr>
            <w:r>
              <w:lastRenderedPageBreak/>
              <w:t>Reading</w:t>
            </w:r>
          </w:p>
        </w:tc>
        <w:tc>
          <w:tcPr>
            <w:tcW w:w="1710" w:type="dxa"/>
            <w:tcMar>
              <w:top w:w="100" w:type="dxa"/>
              <w:left w:w="100" w:type="dxa"/>
              <w:bottom w:w="100" w:type="dxa"/>
              <w:right w:w="100" w:type="dxa"/>
            </w:tcMar>
            <w:vAlign w:val="center"/>
          </w:tcPr>
          <w:p w:rsidR="00027068" w:rsidRDefault="00027068" w:rsidP="00ED0CEF">
            <w:pPr>
              <w:spacing w:after="60"/>
              <w:contextualSpacing/>
              <w:jc w:val="center"/>
            </w:pPr>
            <w:r>
              <w:t>4</w:t>
            </w:r>
          </w:p>
        </w:tc>
      </w:tr>
      <w:tr w:rsidR="00027068" w:rsidTr="007F2452">
        <w:trPr>
          <w:trHeight w:val="89"/>
          <w:jc w:val="center"/>
        </w:trPr>
        <w:tc>
          <w:tcPr>
            <w:tcW w:w="3430" w:type="dxa"/>
            <w:tcMar>
              <w:top w:w="100" w:type="dxa"/>
              <w:left w:w="100" w:type="dxa"/>
              <w:bottom w:w="100" w:type="dxa"/>
              <w:right w:w="100" w:type="dxa"/>
            </w:tcMar>
            <w:vAlign w:val="center"/>
          </w:tcPr>
          <w:p w:rsidR="00027068" w:rsidRDefault="00027068" w:rsidP="00ED0CEF">
            <w:pPr>
              <w:spacing w:after="60"/>
              <w:contextualSpacing/>
            </w:pPr>
            <w:r>
              <w:t>Clicking Links</w:t>
            </w:r>
          </w:p>
        </w:tc>
        <w:tc>
          <w:tcPr>
            <w:tcW w:w="1710" w:type="dxa"/>
            <w:tcMar>
              <w:top w:w="100" w:type="dxa"/>
              <w:left w:w="100" w:type="dxa"/>
              <w:bottom w:w="100" w:type="dxa"/>
              <w:right w:w="100" w:type="dxa"/>
            </w:tcMar>
            <w:vAlign w:val="center"/>
          </w:tcPr>
          <w:p w:rsidR="00027068" w:rsidRDefault="00027068" w:rsidP="00ED0CEF">
            <w:pPr>
              <w:spacing w:after="60"/>
              <w:contextualSpacing/>
              <w:jc w:val="center"/>
            </w:pPr>
            <w:r>
              <w:t>4</w:t>
            </w:r>
          </w:p>
        </w:tc>
      </w:tr>
      <w:tr w:rsidR="00027068" w:rsidTr="007F2452">
        <w:trPr>
          <w:trHeight w:val="170"/>
          <w:jc w:val="center"/>
        </w:trPr>
        <w:tc>
          <w:tcPr>
            <w:tcW w:w="3430" w:type="dxa"/>
            <w:tcMar>
              <w:top w:w="100" w:type="dxa"/>
              <w:left w:w="100" w:type="dxa"/>
              <w:bottom w:w="100" w:type="dxa"/>
              <w:right w:w="100" w:type="dxa"/>
            </w:tcMar>
            <w:vAlign w:val="center"/>
          </w:tcPr>
          <w:p w:rsidR="00027068" w:rsidRDefault="00027068" w:rsidP="00ED0CEF">
            <w:pPr>
              <w:spacing w:after="60"/>
              <w:contextualSpacing/>
            </w:pPr>
            <w:r>
              <w:t>Images/Pictures</w:t>
            </w:r>
          </w:p>
        </w:tc>
        <w:tc>
          <w:tcPr>
            <w:tcW w:w="1710" w:type="dxa"/>
            <w:tcMar>
              <w:top w:w="100" w:type="dxa"/>
              <w:left w:w="100" w:type="dxa"/>
              <w:bottom w:w="100" w:type="dxa"/>
              <w:right w:w="100" w:type="dxa"/>
            </w:tcMar>
            <w:vAlign w:val="center"/>
          </w:tcPr>
          <w:p w:rsidR="00027068" w:rsidRDefault="00027068" w:rsidP="00ED0CEF">
            <w:pPr>
              <w:spacing w:after="60"/>
              <w:contextualSpacing/>
              <w:jc w:val="center"/>
            </w:pPr>
            <w:r>
              <w:t>2</w:t>
            </w:r>
          </w:p>
        </w:tc>
      </w:tr>
      <w:tr w:rsidR="00027068" w:rsidTr="007F2452">
        <w:trPr>
          <w:trHeight w:val="170"/>
          <w:jc w:val="center"/>
        </w:trPr>
        <w:tc>
          <w:tcPr>
            <w:tcW w:w="3430" w:type="dxa"/>
            <w:tcBorders>
              <w:bottom w:val="single" w:sz="8" w:space="0" w:color="000000"/>
            </w:tcBorders>
            <w:tcMar>
              <w:top w:w="100" w:type="dxa"/>
              <w:left w:w="100" w:type="dxa"/>
              <w:bottom w:w="100" w:type="dxa"/>
              <w:right w:w="100" w:type="dxa"/>
            </w:tcMar>
            <w:vAlign w:val="center"/>
          </w:tcPr>
          <w:p w:rsidR="00027068" w:rsidRDefault="00027068" w:rsidP="00ED0CEF">
            <w:pPr>
              <w:spacing w:after="60"/>
              <w:contextualSpacing/>
            </w:pPr>
            <w:r>
              <w:t>Examples</w:t>
            </w:r>
          </w:p>
        </w:tc>
        <w:tc>
          <w:tcPr>
            <w:tcW w:w="1710" w:type="dxa"/>
            <w:tcBorders>
              <w:bottom w:val="single" w:sz="8" w:space="0" w:color="000000"/>
            </w:tcBorders>
            <w:tcMar>
              <w:top w:w="100" w:type="dxa"/>
              <w:left w:w="100" w:type="dxa"/>
              <w:bottom w:w="100" w:type="dxa"/>
              <w:right w:w="100" w:type="dxa"/>
            </w:tcMar>
            <w:vAlign w:val="center"/>
          </w:tcPr>
          <w:p w:rsidR="00027068" w:rsidRDefault="00027068" w:rsidP="00ED0CEF">
            <w:pPr>
              <w:spacing w:after="60"/>
              <w:contextualSpacing/>
              <w:jc w:val="center"/>
            </w:pPr>
            <w:r>
              <w:t>2</w:t>
            </w:r>
          </w:p>
        </w:tc>
      </w:tr>
    </w:tbl>
    <w:p w:rsidR="00027068" w:rsidRDefault="00027068" w:rsidP="00ED0CEF">
      <w:r>
        <w:t>Four of the five students mentioned that they engaged by clicking on links embedded in the tweets and reading the information.  As stated previously, one of the students did not access the platform or use Twitter through the duration of the study.  Engagement seemed to come through reading the information and then clicking on links to view additional content related to the post.  Student B even added that, “It's very rarely that I just read your tweet and let it go.  If there was a link, I pursued it.”  Additionally, Student D explained, “I read the tweets and I'd say about fifty percent of the time I'd click on the link or I'd re-tweet it.”</w:t>
      </w:r>
    </w:p>
    <w:p w:rsidR="00027068" w:rsidRDefault="00027068" w:rsidP="00ED0CEF">
      <w:bookmarkStart w:id="22" w:name="h.k51vacd0btbc" w:colFirst="0" w:colLast="0"/>
      <w:bookmarkEnd w:id="22"/>
      <w:r>
        <w:t>Since Twitter limits the content to 140 characters it is sometimes necessary to add links to additional information.  While the students did mention that they clicked on the links, this process was not evident on the amount of clicks tracked through the ow.ly software.  Only 111 unique clicks were tracked over an 8 week period, which is less than one click per tweet.  Displaying content relevant to information the students on the marketing concept might be best displaying in the actual tweet since the primary source of engagement was reading and each Twitter user described themselves as passive users of the network.</w:t>
      </w:r>
      <w:bookmarkStart w:id="23" w:name="h.jol84ogebavw" w:colFirst="0" w:colLast="0"/>
      <w:bookmarkEnd w:id="23"/>
    </w:p>
    <w:p w:rsidR="00027068" w:rsidRDefault="00027068" w:rsidP="00ED0CEF">
      <w:r>
        <w:t>In reference to visuals, pictures, concepts and examples, these engagement fields were mentioned, but with less frequency.  Students were asked about what stood out to them in the tweets and what aspects of the message helped engage them in the process.  Only two students mentioned specific concepts mentioned in the tweets; product life cycle and market segmentation.  Additional references were made to images and pictures.  Student A explained that, “I'm definitely more of a visual person and I know there was one with pictures, but I can't remember what it was about.”  Considering only two of the 114 tweets contained images that show up directly on the Twitter newsfeed, this option might be something to use in a future research study.</w:t>
      </w:r>
    </w:p>
    <w:p w:rsidR="00027068" w:rsidRPr="00437973" w:rsidRDefault="00027068" w:rsidP="00ED0CEF">
      <w:pPr>
        <w:pStyle w:val="Heading4"/>
      </w:pPr>
      <w:bookmarkStart w:id="24" w:name="h.7t72odss9n1t" w:colFirst="0" w:colLast="0"/>
      <w:bookmarkEnd w:id="24"/>
      <w:r>
        <w:t xml:space="preserve">Professor </w:t>
      </w:r>
      <w:r w:rsidR="00ED0CEF">
        <w:t>i</w:t>
      </w:r>
      <w:r>
        <w:t xml:space="preserve">nterview </w:t>
      </w:r>
      <w:r w:rsidR="00ED0CEF">
        <w:t>a</w:t>
      </w:r>
      <w:r>
        <w:t xml:space="preserve">nalysis – </w:t>
      </w:r>
      <w:r w:rsidR="00ED0CEF">
        <w:t>s</w:t>
      </w:r>
      <w:r>
        <w:t xml:space="preserve">tudent </w:t>
      </w:r>
      <w:r w:rsidR="00ED0CEF">
        <w:t>e</w:t>
      </w:r>
      <w:r>
        <w:t>ngagement</w:t>
      </w:r>
    </w:p>
    <w:p w:rsidR="00027068" w:rsidRDefault="00027068" w:rsidP="00ED0CEF">
      <w:bookmarkStart w:id="25" w:name="h.vxccdw1skb6h" w:colFirst="0" w:colLast="0"/>
      <w:bookmarkEnd w:id="25"/>
      <w:r>
        <w:t xml:space="preserve">An interview with the marketing professor was conducted after the exams, student survey and interviews.  The interview was transcribed and coded in the same process as the student interviews.  The focus of this discussion was to review his thoughts on using Twitter in the classroom and if he viewed any differences between the two classes.  The marketing professor was active in supporting the study, reviewing the tweets and coordinating the details, but there were no additional course requirements beyond following the researcher’s Twitter profile. </w:t>
      </w:r>
    </w:p>
    <w:p w:rsidR="00027068" w:rsidRDefault="00027068" w:rsidP="00ED0CEF">
      <w:r>
        <w:t>His perspective on student engagement between the Twitter group and the traditional group was a main focus of the interview.  When asked directly if he noticed a difference between the groups, his response was:</w:t>
      </w:r>
    </w:p>
    <w:p w:rsidR="00027068" w:rsidRDefault="00027068" w:rsidP="00ED0CEF">
      <w:pPr>
        <w:ind w:left="360" w:right="450"/>
      </w:pPr>
      <w:r>
        <w:t>“I have to say, no and the problem is the two classes are different with or without the study.  There are differences between two classes.  It’s hard for me to sort what thei</w:t>
      </w:r>
      <w:r w:rsidR="000E06A8">
        <w:t>r difference is and I have to s</w:t>
      </w:r>
      <w:r>
        <w:t>ay one of the difference with the [traditional] group that wasn’t following me on Twitter was that they weren’t as engaged but I don’t know if that was the afternoon class syndrome.  It’s hard for me to say.  They clearly were not as engaged.  They clearly were not as proactively conversing, but I have no idea if that was based on the Twitter.”</w:t>
      </w:r>
    </w:p>
    <w:p w:rsidR="00027068" w:rsidRDefault="00027068" w:rsidP="00ED0CEF">
      <w:r>
        <w:lastRenderedPageBreak/>
        <w:t>Within this response, there is a wealth of information related to teaching as well as this research study.  His statement emphases the importance of understanding that there are always differences between sections of a course.  Because of the dynamic created by difference people interacting, it could cause one group to respond differently than another. The professor did mention that the traditional group was “clearly not as engaged” from his perspective. He was not able to directly suggest it was because of the treatment, but he did recognize a difference.  The professor did say that the afternoon class’s lack of engagement might be contributed to the course following lunch.  Previous afternoon courses that he taught seemed to lack the same amount of enthusiasm as morning courses.  Clearly, engagement was lacking in the afternoon class and based on the results of all three exams, the traditional group displayed lower achievement.</w:t>
      </w:r>
    </w:p>
    <w:p w:rsidR="00027068" w:rsidRDefault="00027068" w:rsidP="00ED0CEF">
      <w:r>
        <w:t>The question was also proposed to the instructor about students mentioning anything of the tweets that were posted on Twitter.  He stated that he did not have any students mention Twitter directly or ask questions about the tweets.  As previously mentioned in the student surveys and interviews, they explained that they would benefit from the professor reviewing the Twitter information or incorporating into the course.  This aspect would be important for future research and a better opportunity to increase student engagement.</w:t>
      </w:r>
      <w:bookmarkStart w:id="26" w:name="h.1fob9te" w:colFirst="0" w:colLast="0"/>
      <w:bookmarkEnd w:id="26"/>
    </w:p>
    <w:p w:rsidR="00027068" w:rsidRDefault="00027068" w:rsidP="00ED0CEF">
      <w:r>
        <w:t>Finally, the marketing professor was asked about his thoughts on this research study and different ways to increase student engagement by using Twitter.  He supported the study and said it was a really good idea to look at options that incorporate social media in the learning environment.  Emphasis was placed on social media as the place where students converge and this medium is where they go to communicate and get their news.  In summary, the professor clarified that, “[Twitter] is an amazing tool and yet we don’t really use as much in the classroom.”  Although his initial mindset was that he disliked the platform, he has come to understand the power that this network has for accessing and posting information.  Through this research project, this professor was able to see this network become an asset for the learning process.  His perception on Twitter was never positive, but once he was shown a different perspective on using this network and the possibilities for enhancing the educational environment, he was able to understand the potential.</w:t>
      </w:r>
    </w:p>
    <w:p w:rsidR="00027068" w:rsidRPr="00D7142D" w:rsidRDefault="00027068" w:rsidP="007F2452">
      <w:pPr>
        <w:pStyle w:val="Heading3"/>
      </w:pPr>
      <w:r w:rsidRPr="00D7142D">
        <w:t>Discussion</w:t>
      </w:r>
    </w:p>
    <w:p w:rsidR="00027068" w:rsidRPr="007F2452" w:rsidRDefault="00027068" w:rsidP="007F2452">
      <w:pPr>
        <w:pStyle w:val="Heading4"/>
        <w:rPr>
          <w:sz w:val="16"/>
          <w:szCs w:val="16"/>
        </w:rPr>
      </w:pPr>
      <w:bookmarkStart w:id="27" w:name="h.2s8eyo1" w:colFirst="0" w:colLast="0"/>
      <w:bookmarkEnd w:id="27"/>
      <w:r w:rsidRPr="00D7142D">
        <w:t>Research Questions</w:t>
      </w:r>
    </w:p>
    <w:p w:rsidR="00027068" w:rsidRPr="00D73713" w:rsidRDefault="00027068" w:rsidP="007F2452">
      <w:pPr>
        <w:spacing w:before="240"/>
        <w:ind w:firstLine="720"/>
        <w:rPr>
          <w:i/>
        </w:rPr>
      </w:pPr>
      <w:r w:rsidRPr="00D73713">
        <w:rPr>
          <w:i/>
        </w:rPr>
        <w:t>Does Twitter create student engagement in the overall class discussion?</w:t>
      </w:r>
    </w:p>
    <w:p w:rsidR="00027068" w:rsidRDefault="00027068" w:rsidP="00D73713">
      <w:r>
        <w:t>Twitter has been shown in other studies to create richer dialogue outside of the classroom (</w:t>
      </w:r>
      <w:r>
        <w:rPr>
          <w:highlight w:val="white"/>
        </w:rPr>
        <w:t>Grosseck &amp; Holotescu, 2008</w:t>
      </w:r>
      <w:r>
        <w:t>), more interacti</w:t>
      </w:r>
      <w:r w:rsidR="00CF18BF">
        <w:t>on</w:t>
      </w:r>
      <w:r>
        <w:t xml:space="preserve"> with faculty (</w:t>
      </w:r>
      <w:r>
        <w:rPr>
          <w:highlight w:val="white"/>
        </w:rPr>
        <w:t>Junco, Heiberger, &amp; Loken, 2011</w:t>
      </w:r>
      <w:r>
        <w:rPr>
          <w:b/>
        </w:rPr>
        <w:t>)</w:t>
      </w:r>
      <w:r>
        <w:t>, and provided an opportunity for more introverted students to participate in class discussion (</w:t>
      </w:r>
      <w:r>
        <w:rPr>
          <w:highlight w:val="white"/>
        </w:rPr>
        <w:t>Paul &amp; Ianitti, 2012</w:t>
      </w:r>
      <w:r>
        <w:t>). One could reason that the findings of these two studies were contrary to prior research due to the lack of faculty and student Twitter interaction.</w:t>
      </w:r>
    </w:p>
    <w:p w:rsidR="00027068" w:rsidRDefault="00027068" w:rsidP="00D73713">
      <w:r>
        <w:t>These two studies demonstrated that using social media solely a means for distributing information to students may not increase their overall engagement. In both studies, the researchers Twitter account did not engage with students and the instructors never mentioned the Twitter content or discussed it with the class.  Twitter was only used as a method of sharing information in a “one-sided conversation” of sorts. Both students and host instructors in both studies maintained that classroom engagement was low and students had similar levels of engagement in both the Twitter group and traditional group.</w:t>
      </w:r>
    </w:p>
    <w:p w:rsidR="00027068" w:rsidRPr="00D73713" w:rsidRDefault="00027068" w:rsidP="007F2452">
      <w:pPr>
        <w:spacing w:before="240"/>
        <w:ind w:left="720"/>
      </w:pPr>
      <w:r w:rsidRPr="00D73713">
        <w:rPr>
          <w:i/>
        </w:rPr>
        <w:t>Is Twitter user-friendly for all stakeholders, students as well as the professor, when incorporated into instructional technology</w:t>
      </w:r>
      <w:r w:rsidRPr="00D73713">
        <w:t>?</w:t>
      </w:r>
    </w:p>
    <w:p w:rsidR="00027068" w:rsidRDefault="00027068" w:rsidP="00D73713">
      <w:r>
        <w:lastRenderedPageBreak/>
        <w:t>In both studies, both students and instructors found Twitter easy to use and incorporate into instruction. Only one student in each study did not have an account prior to their respective studies and neither student required extensive training to set up an account. After discussing the studies with each host instructor, they did not feel that Twitter or other social media networks would be difficult to incorporate into other courses. Nevertheless, each instructor still maintained some concerns on the types of interactions that they might have with students moving forward if they chose to use social media in a more interactive manner.</w:t>
      </w:r>
    </w:p>
    <w:p w:rsidR="00027068" w:rsidRDefault="00027068" w:rsidP="00D73713">
      <w:r>
        <w:t xml:space="preserve">These findings imply that Twitter is a mainstream social media tool among college students and it is an easy tool to implement into the classroom. Both host instructors cited that they have experienced students become less formal over time in their communication. Twitter’s 140-character limit and free flowing dialogue provide an efficient, less formal, and easily accessible means of communication between instructors and students. </w:t>
      </w:r>
    </w:p>
    <w:p w:rsidR="00027068" w:rsidRPr="00D7142D" w:rsidRDefault="00027068" w:rsidP="00D73713">
      <w:pPr>
        <w:pStyle w:val="Heading4"/>
      </w:pPr>
      <w:bookmarkStart w:id="28" w:name="h.2123ce572a3f" w:colFirst="0" w:colLast="0"/>
      <w:bookmarkEnd w:id="28"/>
      <w:r w:rsidRPr="00D7142D">
        <w:t xml:space="preserve">Delimitations and </w:t>
      </w:r>
      <w:r>
        <w:t>l</w:t>
      </w:r>
      <w:r w:rsidRPr="00D7142D">
        <w:t>imitations of the study</w:t>
      </w:r>
    </w:p>
    <w:p w:rsidR="00027068" w:rsidRDefault="00027068" w:rsidP="00D73713">
      <w:bookmarkStart w:id="29" w:name="h.hw0x9fomrwvw" w:colFirst="0" w:colLast="0"/>
      <w:bookmarkEnd w:id="29"/>
      <w:r>
        <w:t>Both studies utilized convenience samples and took place over the course of one semester. Larger sample sizes and studies with greater durations may have provided more generalizability of the results. Furthermore, each researcher also made the decision not to follow interactions between the students in the studies on Twitter which may have yielded some additional data on student engagement. Additionally, the students that participated in these studies were all in introductory college courses which may limit the ability to generalize student engagement for all college students.</w:t>
      </w:r>
      <w:bookmarkStart w:id="30" w:name="h.44sbuj9d28u8" w:colFirst="0" w:colLast="0"/>
      <w:bookmarkEnd w:id="30"/>
    </w:p>
    <w:p w:rsidR="00027068" w:rsidRDefault="00027068" w:rsidP="00D73713">
      <w:pPr>
        <w:pStyle w:val="Heading3"/>
      </w:pPr>
      <w:r w:rsidRPr="00D7142D">
        <w:t xml:space="preserve">Conclusions and </w:t>
      </w:r>
      <w:r w:rsidR="00D73713">
        <w:t>r</w:t>
      </w:r>
      <w:r w:rsidRPr="00D7142D">
        <w:t xml:space="preserve">ecommendations for </w:t>
      </w:r>
      <w:r w:rsidR="00D73713">
        <w:t>f</w:t>
      </w:r>
      <w:r w:rsidRPr="00D7142D">
        <w:t xml:space="preserve">uture </w:t>
      </w:r>
      <w:r w:rsidR="00D73713">
        <w:t>r</w:t>
      </w:r>
      <w:r w:rsidRPr="00D7142D">
        <w:t>esearch</w:t>
      </w:r>
      <w:bookmarkStart w:id="31" w:name="h.vm9m37dqsytg" w:colFirst="0" w:colLast="0"/>
      <w:bookmarkEnd w:id="31"/>
    </w:p>
    <w:p w:rsidR="00027068" w:rsidRDefault="00027068" w:rsidP="00D73713">
      <w:r>
        <w:t>The two studies presented utilized Twitter as a tool for reviewing concepts in college courses. In both cases, Twitter wasn’t discussed with the class and there was no interaction on Twitter between student and faculty.  Consequently, both students and the instructors indicated that there was no additional engagement as a result of incorporating Twitter into the classroom.</w:t>
      </w:r>
      <w:bookmarkStart w:id="32" w:name="h.7kjwhsase5pl" w:colFirst="0" w:colLast="0"/>
      <w:bookmarkEnd w:id="32"/>
      <w:r>
        <w:t xml:space="preserve">  </w:t>
      </w:r>
    </w:p>
    <w:p w:rsidR="00027068" w:rsidRDefault="00027068" w:rsidP="00D73713">
      <w:r>
        <w:t xml:space="preserve">This analysis demonstrates the importance of an instructor engaging students and maintaining an interactive environment when incorporating social media into the classroom. A study that includes the current instructor tweeting the information while featuring tweets and examples from class might help increase student achievement and engagement.  Limited quantitative data is available on Twitter and a study that incorporates some type of assessment using Twitter may help fill the gaps in the literature. </w:t>
      </w:r>
    </w:p>
    <w:p w:rsidR="00027068" w:rsidRDefault="00027068" w:rsidP="00D73713">
      <w:bookmarkStart w:id="33" w:name="h.3rdcrjn" w:colFirst="0" w:colLast="0"/>
      <w:bookmarkEnd w:id="33"/>
      <w:r>
        <w:t xml:space="preserve">While qualitative research may be the best method for determining classroom engagement, tracking tweets, mentions, and favorites may be useful tools in determining student engagement on Twitter. Additionally, Twitter launched a new feature 2014 that enables users to share multiple photos within a single tweet.  This aspect provides more engagement because the images stand out from regular content. Throughout the research, students mentioned that including more visuals would enhance the process and provide better engagement. </w:t>
      </w:r>
    </w:p>
    <w:p w:rsidR="00027068" w:rsidRDefault="00027068" w:rsidP="00D73713">
      <w:r>
        <w:t xml:space="preserve">Finally, </w:t>
      </w:r>
      <w:r>
        <w:rPr>
          <w:shd w:val="clear" w:color="auto" w:fill="FFFFFF"/>
        </w:rPr>
        <w:t>these studies were meant for expanding knowledge on concepts by highlighting aspects of these principles through a spaced practiced method. Since the students were very passive in using Twitter, this platform might work better in helping students in the earlier stages of learning through reviewing course material.  While they scan their Twitter feed, drawing attention through more visual tweets could help supplement information presented through a course lecture. Additionally, through an integration of</w:t>
      </w:r>
      <w:r w:rsidRPr="001D28DE">
        <w:rPr>
          <w:shd w:val="clear" w:color="auto" w:fill="FFFFFF"/>
        </w:rPr>
        <w:t xml:space="preserve"> </w:t>
      </w:r>
      <w:r>
        <w:rPr>
          <w:shd w:val="clear" w:color="auto" w:fill="FFFFFF"/>
        </w:rPr>
        <w:t>messages and class interaction, Twitter</w:t>
      </w:r>
      <w:r w:rsidRPr="001D28DE">
        <w:rPr>
          <w:shd w:val="clear" w:color="auto" w:fill="FFFFFF"/>
        </w:rPr>
        <w:t xml:space="preserve"> could create a good balance for both active and passive learners</w:t>
      </w:r>
      <w:r>
        <w:rPr>
          <w:shd w:val="clear" w:color="auto" w:fill="FFFFFF"/>
        </w:rPr>
        <w:t>.</w:t>
      </w:r>
    </w:p>
    <w:p w:rsidR="00027068" w:rsidRDefault="00027068" w:rsidP="00027068">
      <w:pPr>
        <w:keepNext/>
        <w:keepLines/>
        <w:spacing w:before="120"/>
        <w:rPr>
          <w:rFonts w:ascii="Times New Roman" w:hAnsi="Times New Roman"/>
          <w:sz w:val="24"/>
        </w:rPr>
      </w:pPr>
    </w:p>
    <w:p w:rsidR="00027068" w:rsidRDefault="00027068" w:rsidP="00D73713">
      <w:pPr>
        <w:pStyle w:val="Heading3"/>
      </w:pPr>
      <w:r>
        <w:t>References</w:t>
      </w:r>
    </w:p>
    <w:p w:rsidR="00027068" w:rsidRPr="00D73713" w:rsidRDefault="00027068" w:rsidP="00D73713">
      <w:pPr>
        <w:ind w:left="720" w:hanging="720"/>
        <w:rPr>
          <w:sz w:val="20"/>
        </w:rPr>
      </w:pPr>
      <w:r w:rsidRPr="00D73713">
        <w:rPr>
          <w:sz w:val="20"/>
          <w:highlight w:val="white"/>
        </w:rPr>
        <w:t>Asher, S. R., &amp; Weeks, M. S. (2012). Social relationships, academic engagement, and well-being in college: Findings from the Duke social relationships project.</w:t>
      </w:r>
    </w:p>
    <w:p w:rsidR="00027068" w:rsidRPr="00D73713" w:rsidRDefault="00027068" w:rsidP="00D73713">
      <w:pPr>
        <w:ind w:left="720" w:hanging="720"/>
        <w:rPr>
          <w:sz w:val="20"/>
        </w:rPr>
      </w:pPr>
      <w:r w:rsidRPr="00D73713">
        <w:rPr>
          <w:sz w:val="20"/>
        </w:rPr>
        <w:t>Berg, B. L. (2007). Qualitative research methods for the social sciences, (6th ed.). Boston, MA: Allyn &amp; Bacon.</w:t>
      </w:r>
    </w:p>
    <w:p w:rsidR="00027068" w:rsidRPr="00D73713" w:rsidRDefault="00027068" w:rsidP="00D73713">
      <w:pPr>
        <w:ind w:left="720" w:hanging="720"/>
        <w:rPr>
          <w:sz w:val="20"/>
        </w:rPr>
      </w:pPr>
      <w:r w:rsidRPr="00D73713">
        <w:rPr>
          <w:sz w:val="20"/>
        </w:rPr>
        <w:t>Bissell, J. (2014).  Evaluation of student achievement on course concepts by augmenting content through Twitter. (Unpublished Doctoral Dissertation) Robert Morris University,</w:t>
      </w:r>
      <w:r w:rsidR="00D73713">
        <w:rPr>
          <w:sz w:val="20"/>
        </w:rPr>
        <w:t xml:space="preserve"> </w:t>
      </w:r>
      <w:r w:rsidRPr="00D73713">
        <w:rPr>
          <w:sz w:val="20"/>
        </w:rPr>
        <w:t>Moon Township, PA.</w:t>
      </w:r>
    </w:p>
    <w:p w:rsidR="00027068" w:rsidRPr="00D73713" w:rsidRDefault="00027068" w:rsidP="00D73713">
      <w:pPr>
        <w:ind w:left="720" w:hanging="720"/>
        <w:rPr>
          <w:sz w:val="20"/>
        </w:rPr>
      </w:pPr>
      <w:r w:rsidRPr="00D73713">
        <w:rPr>
          <w:sz w:val="20"/>
        </w:rPr>
        <w:t>Buzzelli, A. (2014).  Twitter in the Classroom: Determining the Effectiveness of Utilizing a Microblog for Distributed Practice in Concept Learning. (Unpublished Doctoral Dissertation) Robert Morris University, Moon Township, PA.</w:t>
      </w:r>
    </w:p>
    <w:p w:rsidR="00027068" w:rsidRPr="00D73713" w:rsidRDefault="00027068" w:rsidP="00D73713">
      <w:pPr>
        <w:ind w:left="720" w:hanging="720"/>
        <w:rPr>
          <w:sz w:val="20"/>
        </w:rPr>
      </w:pPr>
      <w:r w:rsidRPr="00D73713">
        <w:rPr>
          <w:sz w:val="20"/>
          <w:highlight w:val="white"/>
        </w:rPr>
        <w:t xml:space="preserve">Clarke, T. B., &amp; Nelson, C. L. (2012). Classroom Community, Pedagogical Effectiveness, and Learning Outcomes Associated with Twitter Use in Undergraduate Marketing Courses. </w:t>
      </w:r>
      <w:r w:rsidRPr="00D73713">
        <w:rPr>
          <w:i/>
          <w:sz w:val="20"/>
          <w:highlight w:val="white"/>
        </w:rPr>
        <w:t>Journal for Advancement of Marketing Education</w:t>
      </w:r>
      <w:r w:rsidRPr="00D73713">
        <w:rPr>
          <w:sz w:val="20"/>
          <w:highlight w:val="white"/>
        </w:rPr>
        <w:t xml:space="preserve">, </w:t>
      </w:r>
      <w:r w:rsidRPr="00D73713">
        <w:rPr>
          <w:i/>
          <w:sz w:val="20"/>
          <w:highlight w:val="white"/>
        </w:rPr>
        <w:t>20</w:t>
      </w:r>
      <w:r w:rsidRPr="00D73713">
        <w:rPr>
          <w:sz w:val="20"/>
          <w:highlight w:val="white"/>
        </w:rPr>
        <w:t>(2), 29.</w:t>
      </w:r>
    </w:p>
    <w:p w:rsidR="00027068" w:rsidRPr="00D73713" w:rsidRDefault="00027068" w:rsidP="00D73713">
      <w:pPr>
        <w:ind w:left="720" w:hanging="720"/>
        <w:rPr>
          <w:sz w:val="20"/>
        </w:rPr>
      </w:pPr>
      <w:r w:rsidRPr="00D73713">
        <w:rPr>
          <w:sz w:val="20"/>
          <w:highlight w:val="white"/>
        </w:rPr>
        <w:t xml:space="preserve">Creswell, J. W. (2012). </w:t>
      </w:r>
      <w:r w:rsidRPr="00D73713">
        <w:rPr>
          <w:i/>
          <w:sz w:val="20"/>
          <w:highlight w:val="white"/>
        </w:rPr>
        <w:t>Qualitative inquiry and research design: Choosing among five approaches</w:t>
      </w:r>
      <w:r w:rsidRPr="00D73713">
        <w:rPr>
          <w:sz w:val="20"/>
          <w:highlight w:val="white"/>
        </w:rPr>
        <w:t>. Sage publications.</w:t>
      </w:r>
    </w:p>
    <w:p w:rsidR="00027068" w:rsidRPr="00D73713" w:rsidRDefault="00027068" w:rsidP="00D73713">
      <w:pPr>
        <w:ind w:left="720" w:hanging="720"/>
        <w:rPr>
          <w:sz w:val="20"/>
        </w:rPr>
      </w:pPr>
      <w:r w:rsidRPr="00D73713">
        <w:rPr>
          <w:sz w:val="20"/>
        </w:rPr>
        <w:t xml:space="preserve">Fassinger, P. A. (1995). Understanding classroom interaction: Students' and professors' contributions to students' silence. </w:t>
      </w:r>
      <w:r w:rsidRPr="00D73713">
        <w:rPr>
          <w:i/>
          <w:sz w:val="20"/>
        </w:rPr>
        <w:t>The Journal of Higher Education</w:t>
      </w:r>
      <w:r w:rsidRPr="00D73713">
        <w:rPr>
          <w:sz w:val="20"/>
        </w:rPr>
        <w:t>, 82-96.</w:t>
      </w:r>
    </w:p>
    <w:p w:rsidR="00027068" w:rsidRPr="00D73713" w:rsidRDefault="00027068" w:rsidP="00D73713">
      <w:pPr>
        <w:ind w:left="720" w:hanging="720"/>
        <w:rPr>
          <w:sz w:val="20"/>
        </w:rPr>
      </w:pPr>
      <w:r w:rsidRPr="00D73713">
        <w:rPr>
          <w:sz w:val="20"/>
          <w:highlight w:val="white"/>
        </w:rPr>
        <w:t xml:space="preserve">Grosseck, G., &amp; Holotescu, C. (2008, April). Can we use Twitter for educational activities. In </w:t>
      </w:r>
      <w:r w:rsidRPr="00D73713">
        <w:rPr>
          <w:i/>
          <w:sz w:val="20"/>
          <w:highlight w:val="white"/>
        </w:rPr>
        <w:t>4th international scientific conference, eLearning and software for education, Bucharest, Romania</w:t>
      </w:r>
      <w:r w:rsidRPr="00D73713">
        <w:rPr>
          <w:sz w:val="20"/>
          <w:highlight w:val="white"/>
        </w:rPr>
        <w:t>.</w:t>
      </w:r>
    </w:p>
    <w:p w:rsidR="00027068" w:rsidRPr="00D73713" w:rsidRDefault="00027068" w:rsidP="00D73713">
      <w:pPr>
        <w:ind w:left="720" w:hanging="720"/>
        <w:rPr>
          <w:sz w:val="20"/>
        </w:rPr>
      </w:pPr>
      <w:r w:rsidRPr="00D73713">
        <w:rPr>
          <w:sz w:val="20"/>
        </w:rPr>
        <w:t xml:space="preserve">Hu, S. and Kuh, G.D. (2001) Being (Dis)Engaged in Educationally Purposeful Activities: The Influences of Student and Institutional Characteristics. </w:t>
      </w:r>
      <w:r w:rsidRPr="00D73713">
        <w:rPr>
          <w:i/>
          <w:sz w:val="20"/>
        </w:rPr>
        <w:t>Paper presented at the American Educational Research Association Annual Conference</w:t>
      </w:r>
      <w:r w:rsidRPr="00D73713">
        <w:rPr>
          <w:sz w:val="20"/>
        </w:rPr>
        <w:t>. Seattle, WA, 10–14 April.</w:t>
      </w:r>
      <w:r w:rsidRPr="00D73713">
        <w:rPr>
          <w:i/>
          <w:sz w:val="20"/>
        </w:rPr>
        <w:t xml:space="preserve"> </w:t>
      </w:r>
    </w:p>
    <w:p w:rsidR="00027068" w:rsidRPr="00D73713" w:rsidRDefault="00027068" w:rsidP="00D73713">
      <w:pPr>
        <w:ind w:left="720" w:hanging="720"/>
        <w:rPr>
          <w:sz w:val="20"/>
        </w:rPr>
      </w:pPr>
      <w:r w:rsidRPr="00D73713">
        <w:rPr>
          <w:sz w:val="20"/>
        </w:rPr>
        <w:t>Ivala, E., &amp; Gachago, D. (2012). Social media for enhancing student engagement: The use of Facebook and blogs at a University of Technology.</w:t>
      </w:r>
      <w:r w:rsidR="00CF18BF">
        <w:rPr>
          <w:sz w:val="20"/>
        </w:rPr>
        <w:t xml:space="preserve"> </w:t>
      </w:r>
      <w:r w:rsidRPr="00D73713">
        <w:rPr>
          <w:i/>
          <w:sz w:val="20"/>
        </w:rPr>
        <w:t xml:space="preserve">South African Journal </w:t>
      </w:r>
      <w:r w:rsidR="00D73713">
        <w:rPr>
          <w:i/>
          <w:sz w:val="20"/>
        </w:rPr>
        <w:t>o</w:t>
      </w:r>
      <w:r w:rsidRPr="00D73713">
        <w:rPr>
          <w:i/>
          <w:sz w:val="20"/>
        </w:rPr>
        <w:t>f Higher Education</w:t>
      </w:r>
      <w:r w:rsidRPr="00D73713">
        <w:rPr>
          <w:sz w:val="20"/>
        </w:rPr>
        <w:t>,</w:t>
      </w:r>
      <w:r w:rsidR="00CF18BF">
        <w:rPr>
          <w:sz w:val="20"/>
        </w:rPr>
        <w:t xml:space="preserve"> </w:t>
      </w:r>
      <w:r w:rsidRPr="00D73713">
        <w:rPr>
          <w:i/>
          <w:sz w:val="20"/>
        </w:rPr>
        <w:t>26</w:t>
      </w:r>
      <w:r w:rsidRPr="00D73713">
        <w:rPr>
          <w:sz w:val="20"/>
        </w:rPr>
        <w:t>(1), 152-167.</w:t>
      </w:r>
    </w:p>
    <w:p w:rsidR="00027068" w:rsidRPr="00D73713" w:rsidRDefault="00027068" w:rsidP="00D73713">
      <w:pPr>
        <w:ind w:left="720" w:hanging="720"/>
        <w:rPr>
          <w:sz w:val="20"/>
        </w:rPr>
      </w:pPr>
      <w:r w:rsidRPr="00D73713">
        <w:rPr>
          <w:sz w:val="20"/>
        </w:rPr>
        <w:t>Junco, R., Heiberger, G., &amp; Loken, E. (2011). The effect of Twitter on college student engagement and grades. </w:t>
      </w:r>
      <w:r w:rsidRPr="00D73713">
        <w:rPr>
          <w:i/>
          <w:sz w:val="20"/>
        </w:rPr>
        <w:t>Journal of Computer Assisted Learning</w:t>
      </w:r>
      <w:r w:rsidRPr="00D73713">
        <w:rPr>
          <w:sz w:val="20"/>
        </w:rPr>
        <w:t>, </w:t>
      </w:r>
      <w:r w:rsidRPr="00D73713">
        <w:rPr>
          <w:i/>
          <w:sz w:val="20"/>
        </w:rPr>
        <w:t>27</w:t>
      </w:r>
      <w:r w:rsidRPr="00D73713">
        <w:rPr>
          <w:sz w:val="20"/>
        </w:rPr>
        <w:t>(2), 119-132.</w:t>
      </w:r>
    </w:p>
    <w:p w:rsidR="00027068" w:rsidRPr="00D73713" w:rsidRDefault="00027068" w:rsidP="00D73713">
      <w:pPr>
        <w:ind w:left="720" w:hanging="720"/>
        <w:rPr>
          <w:sz w:val="20"/>
        </w:rPr>
      </w:pPr>
      <w:r w:rsidRPr="00D73713">
        <w:rPr>
          <w:sz w:val="20"/>
        </w:rPr>
        <w:t>Krause, K. and Coates, H. (2008) Students’ engagement in first-year</w:t>
      </w:r>
      <w:r w:rsidR="00D73713">
        <w:rPr>
          <w:sz w:val="20"/>
        </w:rPr>
        <w:t xml:space="preserve"> </w:t>
      </w:r>
      <w:r w:rsidRPr="00D73713">
        <w:rPr>
          <w:sz w:val="20"/>
        </w:rPr>
        <w:t xml:space="preserve">university. </w:t>
      </w:r>
      <w:r w:rsidRPr="00D73713">
        <w:rPr>
          <w:i/>
          <w:sz w:val="20"/>
        </w:rPr>
        <w:t>Assessment and Evaluation in Higher Education</w:t>
      </w:r>
      <w:r w:rsidRPr="00D73713">
        <w:rPr>
          <w:sz w:val="20"/>
        </w:rPr>
        <w:t>. 33 (5), pp. 493–505.</w:t>
      </w:r>
    </w:p>
    <w:p w:rsidR="00027068" w:rsidRPr="00D73713" w:rsidRDefault="00027068" w:rsidP="00D73713">
      <w:pPr>
        <w:ind w:left="720" w:hanging="720"/>
        <w:rPr>
          <w:sz w:val="20"/>
        </w:rPr>
      </w:pPr>
      <w:r w:rsidRPr="00D73713">
        <w:rPr>
          <w:sz w:val="20"/>
        </w:rPr>
        <w:t xml:space="preserve">Nunn, C. E. (1996). Discussion in the college classroom: Triangulating observational and survey results. </w:t>
      </w:r>
      <w:r w:rsidRPr="00D73713">
        <w:rPr>
          <w:i/>
          <w:sz w:val="20"/>
        </w:rPr>
        <w:t>The journal of higher education</w:t>
      </w:r>
      <w:r w:rsidRPr="00D73713">
        <w:rPr>
          <w:sz w:val="20"/>
        </w:rPr>
        <w:t xml:space="preserve">, 243-266. </w:t>
      </w:r>
    </w:p>
    <w:p w:rsidR="00027068" w:rsidRPr="00D73713" w:rsidRDefault="00027068" w:rsidP="00D73713">
      <w:pPr>
        <w:ind w:left="720" w:hanging="720"/>
        <w:rPr>
          <w:sz w:val="20"/>
        </w:rPr>
      </w:pPr>
      <w:r w:rsidRPr="00D73713">
        <w:rPr>
          <w:sz w:val="20"/>
        </w:rPr>
        <w:t xml:space="preserve">Paul, J. E., &amp; Iannitti, N. (2012). On beyond clickers: Twitter as a classroom response system. </w:t>
      </w:r>
      <w:r w:rsidRPr="00D73713">
        <w:rPr>
          <w:i/>
          <w:sz w:val="20"/>
        </w:rPr>
        <w:t>Journal of Health Administration Education</w:t>
      </w:r>
      <w:r w:rsidRPr="00D73713">
        <w:rPr>
          <w:sz w:val="20"/>
        </w:rPr>
        <w:t>, 29(4), 319-328.</w:t>
      </w:r>
    </w:p>
    <w:p w:rsidR="00027068" w:rsidRPr="00D73713" w:rsidRDefault="00027068" w:rsidP="00D73713">
      <w:pPr>
        <w:ind w:left="720" w:hanging="720"/>
        <w:rPr>
          <w:sz w:val="20"/>
        </w:rPr>
      </w:pPr>
      <w:r w:rsidRPr="00D73713">
        <w:rPr>
          <w:sz w:val="20"/>
        </w:rPr>
        <w:t>Saldana, J. (2012).</w:t>
      </w:r>
      <w:r w:rsidR="00CF18BF">
        <w:rPr>
          <w:sz w:val="20"/>
        </w:rPr>
        <w:t xml:space="preserve"> </w:t>
      </w:r>
      <w:r w:rsidRPr="00D73713">
        <w:rPr>
          <w:i/>
          <w:sz w:val="20"/>
        </w:rPr>
        <w:t>The coding manual for qualitative researchers</w:t>
      </w:r>
      <w:r w:rsidR="00CF18BF">
        <w:rPr>
          <w:sz w:val="20"/>
        </w:rPr>
        <w:t xml:space="preserve"> </w:t>
      </w:r>
      <w:r w:rsidRPr="00D73713">
        <w:rPr>
          <w:sz w:val="20"/>
        </w:rPr>
        <w:t xml:space="preserve">(No. 14). </w:t>
      </w:r>
    </w:p>
    <w:p w:rsidR="00027068" w:rsidRPr="00D73713" w:rsidRDefault="00027068" w:rsidP="00D73713">
      <w:pPr>
        <w:ind w:left="720" w:hanging="720"/>
        <w:rPr>
          <w:sz w:val="20"/>
        </w:rPr>
      </w:pPr>
      <w:r w:rsidRPr="00D73713">
        <w:rPr>
          <w:sz w:val="20"/>
        </w:rPr>
        <w:t xml:space="preserve">Siemens, G. (2005, January). Connectivism: A learning theory for the digital age. </w:t>
      </w:r>
      <w:r w:rsidRPr="00D73713">
        <w:rPr>
          <w:i/>
          <w:sz w:val="20"/>
        </w:rPr>
        <w:t>International Journal of Instructional Technology and Distance Learning, 2</w:t>
      </w:r>
      <w:r w:rsidRPr="00D73713">
        <w:rPr>
          <w:sz w:val="20"/>
        </w:rPr>
        <w:t>(1).</w:t>
      </w:r>
    </w:p>
    <w:p w:rsidR="00027068" w:rsidRPr="00D73713" w:rsidRDefault="00027068" w:rsidP="00D73713">
      <w:pPr>
        <w:ind w:left="720" w:hanging="720"/>
        <w:rPr>
          <w:sz w:val="20"/>
        </w:rPr>
      </w:pPr>
      <w:r w:rsidRPr="00D73713">
        <w:rPr>
          <w:sz w:val="20"/>
        </w:rPr>
        <w:t>Weimer, M. (2013). Learner-centered teaching: Five key changes to practice. John Wiley &amp; Sons.</w:t>
      </w:r>
    </w:p>
    <w:p w:rsidR="00027068" w:rsidRPr="00D73713" w:rsidRDefault="00027068" w:rsidP="00D73713">
      <w:pPr>
        <w:ind w:left="720" w:hanging="720"/>
        <w:rPr>
          <w:sz w:val="20"/>
        </w:rPr>
      </w:pPr>
      <w:r w:rsidRPr="00D73713">
        <w:rPr>
          <w:sz w:val="20"/>
        </w:rPr>
        <w:t>Zhao, C., &amp; Kuh, G. (2004). Adding value: Learning communities and student</w:t>
      </w:r>
      <w:r w:rsidR="00D73713">
        <w:rPr>
          <w:sz w:val="20"/>
        </w:rPr>
        <w:t xml:space="preserve"> </w:t>
      </w:r>
      <w:r w:rsidRPr="00D73713">
        <w:rPr>
          <w:sz w:val="20"/>
        </w:rPr>
        <w:t xml:space="preserve">engagement. </w:t>
      </w:r>
      <w:r w:rsidRPr="00D73713">
        <w:rPr>
          <w:i/>
          <w:sz w:val="20"/>
        </w:rPr>
        <w:t xml:space="preserve">Research </w:t>
      </w:r>
      <w:r w:rsidR="00CF18BF">
        <w:rPr>
          <w:i/>
          <w:sz w:val="20"/>
        </w:rPr>
        <w:t>i</w:t>
      </w:r>
      <w:r w:rsidRPr="00D73713">
        <w:rPr>
          <w:i/>
          <w:sz w:val="20"/>
        </w:rPr>
        <w:t>n Higher Education</w:t>
      </w:r>
      <w:r w:rsidRPr="00D73713">
        <w:rPr>
          <w:sz w:val="20"/>
        </w:rPr>
        <w:t>, 45(2), 115-138. doi:10.1023/B:RIHE.0000015692.88534.de</w:t>
      </w:r>
    </w:p>
    <w:p w:rsidR="00027068" w:rsidRPr="00437973" w:rsidRDefault="00027068" w:rsidP="00027068">
      <w:pPr>
        <w:spacing w:before="120"/>
        <w:rPr>
          <w:sz w:val="20"/>
        </w:rPr>
      </w:pPr>
      <w:r w:rsidRPr="00437973">
        <w:rPr>
          <w:sz w:val="20"/>
        </w:rPr>
        <w:br w:type="page"/>
      </w:r>
    </w:p>
    <w:p w:rsidR="00027068" w:rsidRPr="00670288" w:rsidRDefault="00027068" w:rsidP="00027068">
      <w:pPr>
        <w:spacing w:before="120"/>
      </w:pPr>
      <w:r>
        <w:lastRenderedPageBreak/>
        <w:t>About the authors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8"/>
        <w:gridCol w:w="5598"/>
      </w:tblGrid>
      <w:tr w:rsidR="00027068" w:rsidTr="007F2452">
        <w:trPr>
          <w:trHeight w:val="3662"/>
        </w:trPr>
        <w:tc>
          <w:tcPr>
            <w:tcW w:w="3258" w:type="dxa"/>
          </w:tcPr>
          <w:p w:rsidR="00027068" w:rsidRDefault="00027068" w:rsidP="00027068">
            <w:pPr>
              <w:spacing w:before="120"/>
            </w:pPr>
            <w:r>
              <w:rPr>
                <w:noProof/>
              </w:rPr>
              <w:drawing>
                <wp:anchor distT="0" distB="0" distL="114300" distR="114300" simplePos="0" relativeHeight="251659264" behindDoc="0" locked="0" layoutInCell="1" allowOverlap="1" wp14:anchorId="789AD598" wp14:editId="67011589">
                  <wp:simplePos x="0" y="0"/>
                  <wp:positionH relativeFrom="column">
                    <wp:posOffset>-68580</wp:posOffset>
                  </wp:positionH>
                  <wp:positionV relativeFrom="paragraph">
                    <wp:posOffset>-2540</wp:posOffset>
                  </wp:positionV>
                  <wp:extent cx="1972945" cy="1972945"/>
                  <wp:effectExtent l="0" t="0" r="8255" b="8255"/>
                  <wp:wrapTight wrapText="right">
                    <wp:wrapPolygon edited="0">
                      <wp:start x="0" y="0"/>
                      <wp:lineTo x="0" y="21482"/>
                      <wp:lineTo x="21482" y="21482"/>
                      <wp:lineTo x="214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1305.jpg"/>
                          <pic:cNvPicPr/>
                        </pic:nvPicPr>
                        <pic:blipFill>
                          <a:blip r:embed="rId15">
                            <a:extLst>
                              <a:ext uri="{28A0092B-C50C-407E-A947-70E740481C1C}">
                                <a14:useLocalDpi xmlns:a14="http://schemas.microsoft.com/office/drawing/2010/main" val="0"/>
                              </a:ext>
                            </a:extLst>
                          </a:blip>
                          <a:stretch>
                            <a:fillRect/>
                          </a:stretch>
                        </pic:blipFill>
                        <pic:spPr>
                          <a:xfrm>
                            <a:off x="0" y="0"/>
                            <a:ext cx="1972945" cy="1972945"/>
                          </a:xfrm>
                          <a:prstGeom prst="rect">
                            <a:avLst/>
                          </a:prstGeom>
                        </pic:spPr>
                      </pic:pic>
                    </a:graphicData>
                  </a:graphic>
                  <wp14:sizeRelH relativeFrom="margin">
                    <wp14:pctWidth>0</wp14:pctWidth>
                  </wp14:sizeRelH>
                  <wp14:sizeRelV relativeFrom="margin">
                    <wp14:pctHeight>0</wp14:pctHeight>
                  </wp14:sizeRelV>
                </wp:anchor>
              </w:drawing>
            </w:r>
          </w:p>
        </w:tc>
        <w:tc>
          <w:tcPr>
            <w:tcW w:w="5598" w:type="dxa"/>
          </w:tcPr>
          <w:p w:rsidR="00027068" w:rsidRPr="00E941C0" w:rsidRDefault="00027068" w:rsidP="00027068">
            <w:pPr>
              <w:spacing w:before="120"/>
              <w:rPr>
                <w:rFonts w:ascii="Times New Roman" w:hAnsi="Times New Roman"/>
              </w:rPr>
            </w:pPr>
            <w:r w:rsidRPr="00E941C0">
              <w:rPr>
                <w:rFonts w:ascii="Arial" w:hAnsi="Arial" w:cs="Arial"/>
                <w:b/>
                <w:sz w:val="24"/>
                <w:szCs w:val="24"/>
              </w:rPr>
              <w:t>Armand Buzzelli</w:t>
            </w:r>
            <w:r>
              <w:rPr>
                <w:rFonts w:ascii="Times New Roman" w:hAnsi="Times New Roman"/>
                <w:sz w:val="24"/>
                <w:szCs w:val="24"/>
              </w:rPr>
              <w:t xml:space="preserve"> </w:t>
            </w:r>
            <w:r w:rsidRPr="007F2452">
              <w:t>is an adjunct instructor and Director of Campus Recreation at Robert Morris University. In addition to his professional interests in student affairs and recreation, Buzzelli has focused his research on utilizing social media to enhance instruction. While serving in his current position, Buzzelli went on to earn his Ph.D. in Instructional Leadership and Management at RMU, defending his dissertation entitled, Twitter in the Classroom: Determining the Effectiveness of Utilizing a Microblog for Distributed Practice in Concept Learning.</w:t>
            </w:r>
          </w:p>
          <w:p w:rsidR="00027068" w:rsidRDefault="009557B1" w:rsidP="00027068">
            <w:pPr>
              <w:spacing w:before="120"/>
            </w:pPr>
            <w:hyperlink r:id="rId16" w:tgtFrame="_parent" w:history="1">
              <w:r w:rsidR="00027068" w:rsidRPr="00E941C0">
                <w:rPr>
                  <w:color w:val="0000FF"/>
                  <w:u w:val="single"/>
                </w:rPr>
                <w:t>buzzelli@rmu.edu</w:t>
              </w:r>
            </w:hyperlink>
            <w:r w:rsidR="00027068" w:rsidRPr="00437973">
              <w:t>  | </w:t>
            </w:r>
            <w:hyperlink r:id="rId17" w:tgtFrame="_parent" w:history="1">
              <w:r w:rsidR="00027068" w:rsidRPr="00E941C0">
                <w:rPr>
                  <w:color w:val="0000FF"/>
                  <w:u w:val="single"/>
                </w:rPr>
                <w:t>rmu.edu/campusrec</w:t>
              </w:r>
            </w:hyperlink>
          </w:p>
        </w:tc>
      </w:tr>
      <w:tr w:rsidR="00027068" w:rsidTr="007F2452">
        <w:trPr>
          <w:trHeight w:val="3419"/>
        </w:trPr>
        <w:tc>
          <w:tcPr>
            <w:tcW w:w="3258" w:type="dxa"/>
          </w:tcPr>
          <w:p w:rsidR="00027068" w:rsidRDefault="00027068" w:rsidP="00027068">
            <w:pPr>
              <w:spacing w:before="120"/>
            </w:pPr>
            <w:r>
              <w:rPr>
                <w:rFonts w:ascii="Times New Roman" w:hAnsi="Times New Roman"/>
                <w:noProof/>
                <w:sz w:val="24"/>
                <w:szCs w:val="24"/>
                <w:shd w:val="clear" w:color="auto" w:fill="FFFFFF"/>
              </w:rPr>
              <w:drawing>
                <wp:anchor distT="0" distB="0" distL="114300" distR="114300" simplePos="0" relativeHeight="251660288" behindDoc="0" locked="0" layoutInCell="1" allowOverlap="0" wp14:anchorId="2FA42993" wp14:editId="47DBA918">
                  <wp:simplePos x="0" y="0"/>
                  <wp:positionH relativeFrom="column">
                    <wp:posOffset>-68580</wp:posOffset>
                  </wp:positionH>
                  <wp:positionV relativeFrom="paragraph">
                    <wp:posOffset>0</wp:posOffset>
                  </wp:positionV>
                  <wp:extent cx="1972945" cy="1972945"/>
                  <wp:effectExtent l="0" t="0" r="8255" b="8255"/>
                  <wp:wrapTight wrapText="right">
                    <wp:wrapPolygon edited="0">
                      <wp:start x="0" y="0"/>
                      <wp:lineTo x="0" y="21482"/>
                      <wp:lineTo x="21482" y="21482"/>
                      <wp:lineTo x="21482" y="0"/>
                      <wp:lineTo x="0" y="0"/>
                    </wp:wrapPolygon>
                  </wp:wrapTight>
                  <wp:docPr id="6" name="Picture 6" descr="Macintosh HD:private:var:folders:ty:kh8fbcr94195kr8sv7jtq3l80000gn:T:TemporaryItem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ty:kh8fbcr94195kr8sv7jtq3l80000gn:T:TemporaryItems:unnam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2945" cy="1972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98" w:type="dxa"/>
          </w:tcPr>
          <w:p w:rsidR="00027068" w:rsidRDefault="00027068" w:rsidP="00027068">
            <w:pPr>
              <w:spacing w:before="120"/>
            </w:pPr>
            <w:r w:rsidRPr="00E941C0">
              <w:rPr>
                <w:rFonts w:ascii="Arial" w:hAnsi="Arial" w:cs="Arial"/>
                <w:b/>
                <w:sz w:val="24"/>
                <w:szCs w:val="24"/>
                <w:shd w:val="clear" w:color="auto" w:fill="FFFFFF"/>
              </w:rPr>
              <w:t>James Bissell, Ph.D.</w:t>
            </w:r>
            <w:r w:rsidRPr="00A34ADB">
              <w:rPr>
                <w:rFonts w:ascii="Times New Roman" w:hAnsi="Times New Roman"/>
                <w:sz w:val="24"/>
                <w:szCs w:val="24"/>
                <w:shd w:val="clear" w:color="auto" w:fill="FFFFFF"/>
              </w:rPr>
              <w:t xml:space="preserve"> </w:t>
            </w:r>
            <w:r w:rsidRPr="007F2452">
              <w:t>is a professor in higher education teaching courses in marketing, management and social media.  He is also the owner of a digital marketing agency, PhDesigned.  He has recently defended his doctoral dissertation on using social media to increase student achievement at Robert Morris University.  He has published a prior article on using Twitter in the classroom and has recently submitted a paper on Mobile Learning.  James received his undergraduate degree from Washington &amp; Jefferson College and his MBA from Webster University in Geneva, Switzerland.</w:t>
            </w:r>
          </w:p>
        </w:tc>
      </w:tr>
      <w:tr w:rsidR="00027068" w:rsidTr="007F2452">
        <w:trPr>
          <w:trHeight w:val="3653"/>
        </w:trPr>
        <w:tc>
          <w:tcPr>
            <w:tcW w:w="3258" w:type="dxa"/>
          </w:tcPr>
          <w:p w:rsidR="00027068" w:rsidRDefault="00027068" w:rsidP="00027068">
            <w:pPr>
              <w:spacing w:before="120"/>
            </w:pPr>
            <w:r>
              <w:rPr>
                <w:rFonts w:ascii="Times New Roman" w:hAnsi="Times New Roman"/>
                <w:noProof/>
                <w:sz w:val="24"/>
                <w:szCs w:val="24"/>
                <w:shd w:val="clear" w:color="auto" w:fill="FFFFFF"/>
              </w:rPr>
              <w:drawing>
                <wp:anchor distT="0" distB="0" distL="114300" distR="114300" simplePos="0" relativeHeight="251661312" behindDoc="0" locked="0" layoutInCell="1" allowOverlap="1" wp14:anchorId="50F2DC81" wp14:editId="10021217">
                  <wp:simplePos x="0" y="0"/>
                  <wp:positionH relativeFrom="column">
                    <wp:posOffset>-65405</wp:posOffset>
                  </wp:positionH>
                  <wp:positionV relativeFrom="paragraph">
                    <wp:posOffset>31115</wp:posOffset>
                  </wp:positionV>
                  <wp:extent cx="1972945" cy="2263140"/>
                  <wp:effectExtent l="0" t="0" r="8255" b="3810"/>
                  <wp:wrapTight wrapText="right">
                    <wp:wrapPolygon edited="0">
                      <wp:start x="0" y="0"/>
                      <wp:lineTo x="0" y="21455"/>
                      <wp:lineTo x="21482" y="21455"/>
                      <wp:lineTo x="21482" y="0"/>
                      <wp:lineTo x="0" y="0"/>
                    </wp:wrapPolygon>
                  </wp:wrapTight>
                  <wp:docPr id="7" name="Picture 7" descr="Macintosh HD:private:var:folders:ty:kh8fbcr94195kr8sv7jtq3l80000gn:T:TemporaryItem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ty:kh8fbcr94195kr8sv7jtq3l80000gn:T:TemporaryItems:unnamed.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1" r="1006" b="24814"/>
                          <a:stretch/>
                        </pic:blipFill>
                        <pic:spPr bwMode="auto">
                          <a:xfrm>
                            <a:off x="0" y="0"/>
                            <a:ext cx="1972945" cy="22631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c>
          <w:tcPr>
            <w:tcW w:w="5598" w:type="dxa"/>
          </w:tcPr>
          <w:p w:rsidR="00027068" w:rsidRDefault="00027068" w:rsidP="007F2452">
            <w:pPr>
              <w:spacing w:before="120"/>
            </w:pPr>
            <w:r w:rsidRPr="00E941C0">
              <w:rPr>
                <w:rFonts w:ascii="Arial" w:hAnsi="Arial" w:cs="Arial"/>
                <w:b/>
                <w:sz w:val="24"/>
                <w:szCs w:val="24"/>
                <w:shd w:val="clear" w:color="auto" w:fill="FFFFFF"/>
              </w:rPr>
              <w:t>Gregory Holdan</w:t>
            </w:r>
            <w:r w:rsidRPr="00224C4B">
              <w:rPr>
                <w:rFonts w:ascii="Times New Roman" w:hAnsi="Times New Roman"/>
                <w:sz w:val="24"/>
                <w:szCs w:val="24"/>
                <w:shd w:val="clear" w:color="auto" w:fill="FFFFFF"/>
              </w:rPr>
              <w:t xml:space="preserve"> </w:t>
            </w:r>
            <w:r w:rsidRPr="007F2452">
              <w:t xml:space="preserve">is </w:t>
            </w:r>
            <w:r w:rsidR="007F2452">
              <w:t xml:space="preserve">an </w:t>
            </w:r>
            <w:r w:rsidRPr="007F2452">
              <w:t>Associate Professor of Mathematics and Education at Robert Morris University for the past 12 years. Prior to joining the faculty at RMU</w:t>
            </w:r>
            <w:r w:rsidR="007F2452">
              <w:t>,</w:t>
            </w:r>
            <w:r w:rsidRPr="007F2452">
              <w:t xml:space="preserve"> he taught mathematics and computer science in the Mt Lebanon School District.</w:t>
            </w:r>
            <w:r w:rsidR="007F2452">
              <w:t xml:space="preserve"> </w:t>
            </w:r>
            <w:r w:rsidRPr="007F2452">
              <w:t xml:space="preserve"> He is a member of the doctoral faculty in education.</w:t>
            </w:r>
            <w:r w:rsidR="007F2452">
              <w:t xml:space="preserve"> </w:t>
            </w:r>
            <w:r w:rsidRPr="007F2452">
              <w:t xml:space="preserve"> His research interests include curriculum and instructional design, reflective practices, and learning and teaching styles</w:t>
            </w:r>
            <w:r w:rsidR="007F2452">
              <w:t>.</w:t>
            </w:r>
          </w:p>
        </w:tc>
      </w:tr>
    </w:tbl>
    <w:p w:rsidR="00D73713" w:rsidRDefault="00D73713">
      <w:pPr>
        <w:spacing w:before="0" w:after="0"/>
      </w:pPr>
    </w:p>
    <w:p w:rsidR="00D73713" w:rsidRDefault="009557B1" w:rsidP="00D73713">
      <w:hyperlink w:anchor="TOC" w:history="1">
        <w:r w:rsidR="004B726D" w:rsidRPr="000C7B67">
          <w:rPr>
            <w:rStyle w:val="Hyperlink"/>
            <w:rFonts w:ascii="Arial" w:hAnsi="Arial" w:cs="Arial"/>
            <w:sz w:val="16"/>
            <w:szCs w:val="16"/>
          </w:rPr>
          <w:t>Return to Table of Contents</w:t>
        </w:r>
      </w:hyperlink>
      <w:r w:rsidR="00D73713">
        <w:br w:type="page"/>
      </w: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4B726D" w:rsidRDefault="004B726D">
      <w:pPr>
        <w:spacing w:before="0" w:after="0"/>
      </w:pPr>
    </w:p>
    <w:p w:rsidR="00C44B56" w:rsidRDefault="009557B1">
      <w:pPr>
        <w:spacing w:before="0" w:after="0"/>
      </w:pPr>
      <w:hyperlink w:anchor="TOC" w:history="1">
        <w:r w:rsidR="004B726D" w:rsidRPr="000C7B67">
          <w:rPr>
            <w:rStyle w:val="Hyperlink"/>
            <w:rFonts w:ascii="Arial" w:hAnsi="Arial" w:cs="Arial"/>
            <w:sz w:val="16"/>
            <w:szCs w:val="16"/>
          </w:rPr>
          <w:t>Return to Table of Contents</w:t>
        </w:r>
      </w:hyperlink>
      <w:r w:rsidR="00C44B56">
        <w:br w:type="page"/>
      </w:r>
    </w:p>
    <w:p w:rsidR="001450F1" w:rsidRDefault="00C44B56" w:rsidP="001048C7">
      <w:pPr>
        <w:pStyle w:val="Note"/>
      </w:pPr>
      <w:r w:rsidRPr="001048C7">
        <w:rPr>
          <w:b/>
        </w:rPr>
        <w:lastRenderedPageBreak/>
        <w:t>Editor’s Note:</w:t>
      </w:r>
      <w:r w:rsidRPr="00CF18BF">
        <w:rPr>
          <w:rFonts w:ascii="Garamond" w:hAnsi="Garamond"/>
          <w:color w:val="auto"/>
        </w:rPr>
        <w:t xml:space="preserve"> </w:t>
      </w:r>
      <w:r w:rsidR="001048C7">
        <w:t>As describe</w:t>
      </w:r>
      <w:r w:rsidR="000645D5">
        <w:t>d</w:t>
      </w:r>
      <w:r w:rsidR="001048C7">
        <w:t xml:space="preserve"> by its author</w:t>
      </w:r>
      <w:r w:rsidR="000645D5">
        <w:t>s</w:t>
      </w:r>
      <w:r w:rsidR="001048C7">
        <w:t>, “</w:t>
      </w:r>
      <w:r w:rsidR="001450F1">
        <w:t>This manuscript is the culmination of research conducted in an online graduate program in higher education administration.</w:t>
      </w:r>
      <w:r w:rsidR="001048C7">
        <w:t xml:space="preserve"> </w:t>
      </w:r>
      <w:r w:rsidR="001450F1">
        <w:t xml:space="preserve"> </w:t>
      </w:r>
      <w:r w:rsidR="001048C7">
        <w:t>T</w:t>
      </w:r>
      <w:r w:rsidR="001450F1">
        <w:t>he manuscript</w:t>
      </w:r>
      <w:r w:rsidR="001048C7">
        <w:t xml:space="preserve"> reflects on</w:t>
      </w:r>
      <w:r w:rsidR="001450F1">
        <w:t xml:space="preserve"> the importance of connecting students to each other as a means of deepening learning and improving student experiences.</w:t>
      </w:r>
      <w:r w:rsidR="001048C7">
        <w:t xml:space="preserve"> </w:t>
      </w:r>
      <w:r w:rsidR="001450F1">
        <w:t xml:space="preserve"> </w:t>
      </w:r>
      <w:r w:rsidR="001048C7">
        <w:t>This paper</w:t>
      </w:r>
      <w:r w:rsidR="001450F1">
        <w:t xml:space="preserve"> provide</w:t>
      </w:r>
      <w:r w:rsidR="001048C7">
        <w:t>s</w:t>
      </w:r>
      <w:r w:rsidR="001450F1">
        <w:t xml:space="preserve"> insights into structuring online learning and how faculty </w:t>
      </w:r>
      <w:r w:rsidR="004632D6">
        <w:t>foster collaborative relationships in</w:t>
      </w:r>
      <w:r w:rsidR="001450F1">
        <w:t xml:space="preserve"> online </w:t>
      </w:r>
      <w:r w:rsidR="004632D6">
        <w:t>learning</w:t>
      </w:r>
      <w:r w:rsidR="001450F1">
        <w:t>.</w:t>
      </w:r>
      <w:r w:rsidR="004632D6">
        <w:t>”</w:t>
      </w:r>
    </w:p>
    <w:p w:rsidR="00C44B56" w:rsidRDefault="00CD6885" w:rsidP="001450F1">
      <w:pPr>
        <w:pStyle w:val="Heading1"/>
      </w:pPr>
      <w:bookmarkStart w:id="34" w:name="_The_importance_of"/>
      <w:bookmarkEnd w:id="34"/>
      <w:r>
        <w:t>T</w:t>
      </w:r>
      <w:r w:rsidR="001048C7">
        <w:t xml:space="preserve">he importance of peer connections </w:t>
      </w:r>
      <w:r w:rsidR="001450F1">
        <w:br/>
      </w:r>
      <w:r w:rsidR="00C44B56">
        <w:t>in Distance Education</w:t>
      </w:r>
    </w:p>
    <w:p w:rsidR="00C44B56" w:rsidRDefault="00C44B56" w:rsidP="001450F1">
      <w:pPr>
        <w:pStyle w:val="Heading5"/>
      </w:pPr>
      <w:r>
        <w:t>Matthew B. Fuller</w:t>
      </w:r>
      <w:r w:rsidR="008C589D">
        <w:t>,</w:t>
      </w:r>
      <w:r w:rsidR="000645D5">
        <w:t xml:space="preserve"> </w:t>
      </w:r>
      <w:r w:rsidR="000645D5" w:rsidRPr="000645D5">
        <w:t>Peggy Holzweiss</w:t>
      </w:r>
      <w:r w:rsidR="008C589D">
        <w:t xml:space="preserve"> and Sheila A. Joyner</w:t>
      </w:r>
    </w:p>
    <w:p w:rsidR="00C44B56" w:rsidRDefault="00C44B56" w:rsidP="001450F1">
      <w:pPr>
        <w:pStyle w:val="Heading5"/>
      </w:pPr>
      <w:r>
        <w:t>USA</w:t>
      </w:r>
    </w:p>
    <w:p w:rsidR="00C44B56" w:rsidRPr="00A3316D" w:rsidRDefault="001450F1" w:rsidP="001450F1">
      <w:pPr>
        <w:pStyle w:val="Heading3"/>
      </w:pPr>
      <w:r w:rsidRPr="00A3316D">
        <w:t>Abstract</w:t>
      </w:r>
    </w:p>
    <w:p w:rsidR="00C44B56" w:rsidRDefault="00C44B56" w:rsidP="00C44B56">
      <w:pPr>
        <w:autoSpaceDE w:val="0"/>
        <w:autoSpaceDN w:val="0"/>
        <w:adjustRightInd w:val="0"/>
      </w:pPr>
      <w:r w:rsidRPr="00A3316D">
        <w:rPr>
          <w:rFonts w:ascii="TimesNewRomanPSMT" w:hAnsi="TimesNewRomanPSMT" w:cs="TimesNewRomanPSMT"/>
        </w:rPr>
        <w:t xml:space="preserve">Studies on online students indicate that building a sense of community among students enhances student learning, retention and student satisfaction with their online experience.  The authors present their findings of survey research involving 60 online graduate students in a master’s program in higher education administration.  The survey results indicate four distinct themes surrounding the creation of community in the online classroom.  </w:t>
      </w:r>
      <w:r w:rsidRPr="00A3316D">
        <w:t>Those findings are explored with several conclusions and recommendations for creating online courses that build communities of learners rather than emphasizing the delivery of content to numerous individuals.</w:t>
      </w:r>
    </w:p>
    <w:p w:rsidR="00C44B56" w:rsidRPr="001450F1" w:rsidRDefault="00C44B56" w:rsidP="00C44B56">
      <w:pPr>
        <w:rPr>
          <w:sz w:val="20"/>
        </w:rPr>
      </w:pPr>
      <w:r w:rsidRPr="001450F1">
        <w:rPr>
          <w:b/>
          <w:sz w:val="20"/>
        </w:rPr>
        <w:t xml:space="preserve">Keywords:  </w:t>
      </w:r>
      <w:r w:rsidRPr="001450F1">
        <w:rPr>
          <w:sz w:val="20"/>
        </w:rPr>
        <w:t>Peer connection in online learning; online instruction; graduate student learning; peers; peer interactions; connections; online learning; constructivism; distance learning; higher education</w:t>
      </w:r>
      <w:r w:rsidR="001048C7">
        <w:rPr>
          <w:sz w:val="20"/>
        </w:rPr>
        <w:t>.</w:t>
      </w:r>
    </w:p>
    <w:p w:rsidR="00C44B56" w:rsidRPr="00396CE6" w:rsidRDefault="00C44B56" w:rsidP="001450F1">
      <w:pPr>
        <w:pStyle w:val="Heading3"/>
      </w:pPr>
      <w:r>
        <w:t>Introduction</w:t>
      </w:r>
    </w:p>
    <w:p w:rsidR="00C44B56" w:rsidRPr="00A3316D" w:rsidRDefault="00C44B56" w:rsidP="00C44B56">
      <w:pPr>
        <w:autoSpaceDE w:val="0"/>
        <w:autoSpaceDN w:val="0"/>
        <w:adjustRightInd w:val="0"/>
        <w:rPr>
          <w:rFonts w:eastAsia="Calibri"/>
        </w:rPr>
      </w:pPr>
      <w:r w:rsidRPr="00A3316D">
        <w:t>Human beings have a basic need for belonging and for relating to other human beings (Ormrod, 2008).  Faculty who teach online courses seek to create environments with a sense of belonging so that all students feel connected to each other (Rovai, 2007).</w:t>
      </w:r>
      <w:r>
        <w:t xml:space="preserve">  </w:t>
      </w:r>
      <w:r w:rsidRPr="00A3316D">
        <w:rPr>
          <w:rFonts w:eastAsia="Calibri"/>
        </w:rPr>
        <w:t>Educational research has shown that more effective learning takes place if learners are actively involved in the learning activities, rather than being passive listeners (Nurmela, Palonen, Lehtinen, &amp; Hakkarainen, 2003). The pedagogical assertion that students learn and construct knowledge through group interaction (Puntambekar, 2006) is a basic foundation for creating the sense of community desired in online classes.  When more focus is placed on developing needed skills and attitudes rather than transmitting information, active learning occurs.  Students engage in critical thinking when analyzing, synthesizing, and evaluating. While students are involved in activities like reading, writing and then discussing with others what they have read and experienced and learned, emphasis is placed on students exploring their own attitudes and values as well as the attitudes and values of their peers.</w:t>
      </w:r>
      <w:r>
        <w:rPr>
          <w:rFonts w:eastAsia="Calibri"/>
        </w:rPr>
        <w:t xml:space="preserve">  Such pedagogical practices are guided by a constructivist epistemology that regards knowledge as negotiated and developed in an interpersonal, social context (Noddings, 2006). </w:t>
      </w:r>
    </w:p>
    <w:p w:rsidR="00C44B56" w:rsidRPr="00A3316D" w:rsidRDefault="00C44B56" w:rsidP="00C44B56">
      <w:pPr>
        <w:autoSpaceDE w:val="0"/>
        <w:autoSpaceDN w:val="0"/>
        <w:adjustRightInd w:val="0"/>
        <w:rPr>
          <w:rFonts w:eastAsia="Calibri"/>
        </w:rPr>
      </w:pPr>
      <w:r w:rsidRPr="00A3316D">
        <w:rPr>
          <w:rFonts w:eastAsia="Calibri"/>
        </w:rPr>
        <w:t xml:space="preserve">According to Mayes (2001), this constructivist learning environment results in students who are more interested in learning.  They become better critical thinkers who appreciate inquiry. Working together to accomplish a task is a characteristic of a positive learning environment which facilitates active construction of knowledge (Van Merrienboer &amp; Paas, 2003).  It also presents an opportunity for students in online classes to develop a connection with each other and establish a sense of community as they work toward common goals. In online learning communities, students can create and share information, engage in critical reflection, contemplate meaning, test synthesis, and form consensus. Through online, collaborative written assignments, group discussions, debates and critiques of arguments, students can enhance knowledge construction (Zhu, 2012). </w:t>
      </w:r>
    </w:p>
    <w:p w:rsidR="00C44B56" w:rsidRPr="00A3316D" w:rsidRDefault="00C44B56" w:rsidP="00C44B56">
      <w:pPr>
        <w:autoSpaceDE w:val="0"/>
        <w:autoSpaceDN w:val="0"/>
        <w:adjustRightInd w:val="0"/>
        <w:rPr>
          <w:rFonts w:eastAsia="Calibri"/>
        </w:rPr>
      </w:pPr>
      <w:r w:rsidRPr="00A3316D">
        <w:rPr>
          <w:rFonts w:eastAsia="Calibri"/>
        </w:rPr>
        <w:lastRenderedPageBreak/>
        <w:t xml:space="preserve">Providing opportunities for students to learn with and from each other is crucial for effective teaching and learning and is particularly imperative for the online faculty member to create those occasions that are not naturally occurring in a nonsynchronous classroom (Perkins, 2009).  </w:t>
      </w:r>
      <w:r w:rsidRPr="00A3316D">
        <w:t>We also recognize the importance of</w:t>
      </w:r>
      <w:r w:rsidRPr="00A3316D">
        <w:rPr>
          <w:rFonts w:eastAsia="Calibri"/>
        </w:rPr>
        <w:t xml:space="preserve"> the faculty member who must </w:t>
      </w:r>
      <w:r w:rsidRPr="00A3316D">
        <w:t>manage the opportunities for peer connections in the learning community while</w:t>
      </w:r>
      <w:r w:rsidRPr="00A3316D">
        <w:rPr>
          <w:rFonts w:eastAsia="Calibri"/>
        </w:rPr>
        <w:t xml:space="preserve"> </w:t>
      </w:r>
      <w:r w:rsidRPr="00A3316D">
        <w:t>simultaneously contributing as a member of</w:t>
      </w:r>
      <w:r w:rsidRPr="00A3316D">
        <w:rPr>
          <w:rFonts w:eastAsia="Calibri"/>
        </w:rPr>
        <w:t xml:space="preserve"> </w:t>
      </w:r>
      <w:r w:rsidRPr="00A3316D">
        <w:t>that community.</w:t>
      </w:r>
    </w:p>
    <w:p w:rsidR="00C44B56" w:rsidRPr="00A3316D" w:rsidRDefault="00C44B56" w:rsidP="001450F1">
      <w:pPr>
        <w:pStyle w:val="Heading3"/>
      </w:pPr>
      <w:r w:rsidRPr="00A3316D">
        <w:t>Literature review</w:t>
      </w:r>
    </w:p>
    <w:p w:rsidR="00C44B56" w:rsidRPr="00A3316D" w:rsidRDefault="00C44B56" w:rsidP="00C44B56">
      <w:r w:rsidRPr="00A3316D">
        <w:t xml:space="preserve">Researchers have emphasized the importance of creating community within distance education environments in order to promote personal connections with peers and instructors, thereby providing support for learning (Ingram, 2005; Robley, Farnsworth, Flynn, &amp; Horne, 2004; Tucker, 2012).  Pascarella and Terenzini (2005), in their review of twenty years of higher education research, concluded that peer relationships based in academic topics, had a positive relationship to student learning and development.  Ideally, distance education students, just like face-to-face students, should </w:t>
      </w:r>
      <w:r>
        <w:t xml:space="preserve">benefit from similar peer relationships </w:t>
      </w:r>
      <w:r w:rsidRPr="00A3316D">
        <w:t>through the sharing of resources and ideas (Almala, 2006).</w:t>
      </w:r>
    </w:p>
    <w:p w:rsidR="00C44B56" w:rsidRPr="00A3316D" w:rsidRDefault="00C44B56" w:rsidP="00C44B56">
      <w:r w:rsidRPr="00A3316D">
        <w:t xml:space="preserve">However, creating a supportive online environment can be challenging from the start. One study illustrates the belief that online courses inhibit social connections with peers (Harris &amp; Martin, 2012), thereby creating an immediate barrier for instructors to overcome.  Another barrier is that students may not perceive peer relationships as important (Roby, Ashe, Singh, &amp; Clark, 2012).  Instructors must intentionally provide course structures and </w:t>
      </w:r>
      <w:r>
        <w:t xml:space="preserve">learning exercises </w:t>
      </w:r>
      <w:r w:rsidRPr="00A3316D">
        <w:t xml:space="preserve">to help build relationships that may not occur naturally.  </w:t>
      </w:r>
      <w:r>
        <w:t>Online</w:t>
      </w:r>
      <w:r w:rsidRPr="00A3316D">
        <w:t xml:space="preserve"> courses are specifically structured to overcome barriers</w:t>
      </w:r>
      <w:r>
        <w:t>.</w:t>
      </w:r>
      <w:r w:rsidRPr="00A3316D">
        <w:t xml:space="preserve">  For instance, students who make connections with peers have less stress and more motivation for their academic pursuits (Robley, Farnsworth, Flynn, &amp; Horne, 2004).  </w:t>
      </w:r>
      <w:r>
        <w:t>Peer-to-peer interactions in online learning environments have also been found to positively influence student satisfaction with university experiences and student perceptions of ability to persist to graduation (Cho &amp; Kim, 2013; Xie &amp; Ke, 2013).</w:t>
      </w:r>
    </w:p>
    <w:p w:rsidR="00C44B56" w:rsidRPr="00A3316D" w:rsidRDefault="00C44B56" w:rsidP="00C44B56">
      <w:r w:rsidRPr="00A3316D">
        <w:t>Waltonen-Moore, Stuart, Newton, Oswald, and Varonis (2006) described a five</w:t>
      </w:r>
      <w:r>
        <w:t>-</w:t>
      </w:r>
      <w:r w:rsidRPr="00A3316D">
        <w:t xml:space="preserve">stage model for creating an online learning community.  The first stage, </w:t>
      </w:r>
      <w:r w:rsidRPr="00CB321A">
        <w:rPr>
          <w:i/>
        </w:rPr>
        <w:t>Introduction</w:t>
      </w:r>
      <w:r w:rsidRPr="00A3316D">
        <w:t xml:space="preserve">, helps a new group become acquainted with one another by sharing personal information.  The second stage, </w:t>
      </w:r>
      <w:r w:rsidRPr="00CB321A">
        <w:rPr>
          <w:i/>
        </w:rPr>
        <w:t>Identification</w:t>
      </w:r>
      <w:r w:rsidRPr="00A3316D">
        <w:t xml:space="preserve">, builds upon the introduction by helping group members find connections between their backgrounds and experiences.  Once group members begin relating to one another on a personal level, the third stage, </w:t>
      </w:r>
      <w:r w:rsidRPr="00CB321A">
        <w:rPr>
          <w:i/>
        </w:rPr>
        <w:t>Interaction</w:t>
      </w:r>
      <w:r w:rsidRPr="00A3316D">
        <w:t xml:space="preserve">, begins.  This stage shifts the focus from personal information to the subject of the learning community.  The fourth stage, </w:t>
      </w:r>
      <w:r w:rsidRPr="00CB321A">
        <w:rPr>
          <w:i/>
        </w:rPr>
        <w:t>Involvement</w:t>
      </w:r>
      <w:r w:rsidRPr="00A3316D">
        <w:t xml:space="preserve">, moves one step further by having students work collaboratively to express their understanding of the given subject.  Finally, the fifth stage, </w:t>
      </w:r>
      <w:r w:rsidRPr="00CB321A">
        <w:rPr>
          <w:i/>
        </w:rPr>
        <w:t>Inquiry</w:t>
      </w:r>
      <w:r w:rsidRPr="00A3316D">
        <w:t>, moves students into the application of their new understanding of the subject matter.</w:t>
      </w:r>
    </w:p>
    <w:p w:rsidR="00C44B56" w:rsidRPr="00A3316D" w:rsidRDefault="00C44B56" w:rsidP="00C44B56">
      <w:r w:rsidRPr="00A3316D">
        <w:t>By inserting specific pedagogical techniques to address each stage of community development, instructors can create the necessary environment and encourage essential peer connections that enhance learning.  For instance, asking students to create autobiographies at the beginning of a course can help establish an emerging sense of community (Lowenthal &amp; Dunlap, 2010).  In another example, utilizing technologies such as online conferencing (audio or video), can help engage students with one another by removing some of the physical distance between them (Kuyath, 2008).</w:t>
      </w:r>
    </w:p>
    <w:p w:rsidR="00C44B56" w:rsidRPr="00A3316D" w:rsidRDefault="00C44B56" w:rsidP="00C44B56">
      <w:r w:rsidRPr="00A3316D">
        <w:t xml:space="preserve">The purpose of this study is to illustrate the formal and informal activities within an online graduate program that helped form connections between peers.  Understanding what students perceive as essential activities for building peer relationships can assist instructors with developing teaching strategies to enhance student learning.  </w:t>
      </w:r>
    </w:p>
    <w:p w:rsidR="00C44B56" w:rsidRPr="00A3316D" w:rsidRDefault="00C44B56" w:rsidP="001450F1">
      <w:pPr>
        <w:pStyle w:val="Heading4"/>
      </w:pPr>
      <w:r w:rsidRPr="00A3316D">
        <w:lastRenderedPageBreak/>
        <w:t>Methods</w:t>
      </w:r>
    </w:p>
    <w:p w:rsidR="00C44B56" w:rsidRPr="00A3316D" w:rsidRDefault="00C44B56" w:rsidP="00C44B56">
      <w:r w:rsidRPr="00A3316D">
        <w:t xml:space="preserve">The authors crafted an instrument to gather information on the activities that assisted in the creation of connections between student peers.  This instrument was designed to explore the varying levels of community in an online learning environment offered by Waltonen-Moore et al. (2006). The instrument primarily consisted of quantitative Likert-type questions focusing, in part, on online learning community development and peer connections.  However, the instrument also included several open-ended questions asking students for their perspectives on connections with peers and other aspects vital to online learning.  </w:t>
      </w:r>
    </w:p>
    <w:p w:rsidR="00C44B56" w:rsidRPr="00A3316D" w:rsidRDefault="00C44B56" w:rsidP="00C44B56">
      <w:r w:rsidRPr="00A3316D">
        <w:t xml:space="preserve">Eighty-six students enrolled in a fully online Master of Arts program in </w:t>
      </w:r>
      <w:r>
        <w:t>h</w:t>
      </w:r>
      <w:r w:rsidRPr="00A3316D">
        <w:t xml:space="preserve">igher </w:t>
      </w:r>
      <w:r>
        <w:t>e</w:t>
      </w:r>
      <w:r w:rsidRPr="00A3316D">
        <w:t xml:space="preserve">ducation </w:t>
      </w:r>
      <w:r>
        <w:t>a</w:t>
      </w:r>
      <w:r w:rsidRPr="00A3316D">
        <w:t>dministration were invited to participate in the study.  The students were enrolled at an institution located in the southern United States.  However, they lived in 9 different states, and two students from countries other than the United States participated in the study. The average age of participants was 36 years of age and ages ranged from 19 to 61 years of age.  Fifty-three percent of invited participants were White, 24% were African American, 15% were Hispanic, 6 % were Asian, 1% of participants were Native American, and 1% were multi-racial.  Female students accounted for the majority of the invited participants (69%) while male students accounted for 31% of invited participants. Most students (87%) were employed in an educational setting at the point they enrolled in the online program. Thus, the discipline-specific nature of this program and the fact that some of the participants already have professional relationships influence their ability to connect with each other in class.  The authors recognize this as a limitation of the currently available population and encourage further research in a variety of disciplines or settings.</w:t>
      </w:r>
    </w:p>
    <w:p w:rsidR="00C44B56" w:rsidRPr="00A3316D" w:rsidRDefault="00C44B56" w:rsidP="00C44B56">
      <w:r w:rsidRPr="00A3316D">
        <w:t xml:space="preserve">Participants were invited to contribute to the electronic survey in the fall 2012 semester. Following the invitation, two reminder emails were sent at two-week intervals, allowing 5 weeks for data collection.  Survey responses were anonymously recorded to secure the participants’ most honest reactions.  Therefore, the researchers are unable to explore response bias or examine group differences for age, race, or gender demographics.  </w:t>
      </w:r>
      <w:r>
        <w:t xml:space="preserve">However, some basic demographic questions, such as the number of classes the participants had completed and gender, were asked in the survey and results were analyzed using these demographic data.  </w:t>
      </w:r>
      <w:r w:rsidRPr="00A3316D">
        <w:t xml:space="preserve">Sixty of the 86 invited participants responded, representing a 70% response rate.  </w:t>
      </w:r>
    </w:p>
    <w:p w:rsidR="00C44B56" w:rsidRPr="00A3316D" w:rsidRDefault="00C44B56" w:rsidP="00C44B56">
      <w:r w:rsidRPr="00A3316D">
        <w:t xml:space="preserve">The present study focuses on results from an open-ended question related to formal or informal experiences students believed help connect them to other students.  Qualitative analysis techniques were utilized to develop themes from participant responses. </w:t>
      </w:r>
    </w:p>
    <w:p w:rsidR="00C44B56" w:rsidRPr="00A3316D" w:rsidRDefault="00C44B56" w:rsidP="001450F1">
      <w:pPr>
        <w:pStyle w:val="Heading3"/>
      </w:pPr>
      <w:r w:rsidRPr="00A3316D">
        <w:t>Results</w:t>
      </w:r>
    </w:p>
    <w:p w:rsidR="00C44B56" w:rsidRPr="00A3316D" w:rsidRDefault="00C44B56" w:rsidP="00C44B56">
      <w:r w:rsidRPr="00A3316D">
        <w:t>A question on the survey asked participants “Describe any experience (formal or informal) that helped you feel connected to your fellow class members.”  Four major themes emerged from the analysis including: (a) course assignments, (b) using technology, (c) personal communication between students, and (d) structure of the course or academic program.</w:t>
      </w:r>
    </w:p>
    <w:p w:rsidR="00C44B56" w:rsidRPr="00A3316D" w:rsidRDefault="00C44B56" w:rsidP="001450F1">
      <w:pPr>
        <w:pStyle w:val="Heading4"/>
      </w:pPr>
      <w:r w:rsidRPr="00A3316D">
        <w:t xml:space="preserve">Course </w:t>
      </w:r>
      <w:r w:rsidR="00ED0CEF">
        <w:t>a</w:t>
      </w:r>
      <w:r w:rsidRPr="00A3316D">
        <w:t>ssignments</w:t>
      </w:r>
    </w:p>
    <w:p w:rsidR="00C44B56" w:rsidRPr="00A3316D" w:rsidRDefault="00C44B56" w:rsidP="00C44B56">
      <w:r w:rsidRPr="00A3316D">
        <w:t xml:space="preserve">A total of 150 comments explained that participants felt most connected to their peers through a variety of course assignments.  The most referenced assignment </w:t>
      </w:r>
      <w:r>
        <w:t xml:space="preserve">(82 comments) </w:t>
      </w:r>
      <w:r w:rsidRPr="00A3316D">
        <w:t xml:space="preserve">was class discussions.  Through the direct dialogue provided in discussion assignments, participants could engage in meaningful conversations with fellow students and gain insight into </w:t>
      </w:r>
      <w:r>
        <w:t>others’</w:t>
      </w:r>
      <w:r w:rsidRPr="00A3316D">
        <w:t xml:space="preserve"> opinions on important issues.  Highlighting the positive benefits of discussion forums, one participant shared, “I think this is a great way to learn how we each think of a topic in discussion and how we may differ.”  It should be noted that four comments addressed how important it was to have instructors engaged in the discussion forums.  One </w:t>
      </w:r>
      <w:r>
        <w:t xml:space="preserve">of the more experienced </w:t>
      </w:r>
      <w:r w:rsidRPr="00A3316D">
        <w:t>participant</w:t>
      </w:r>
      <w:r>
        <w:t>s</w:t>
      </w:r>
      <w:r w:rsidRPr="00A3316D">
        <w:t xml:space="preserve"> explained, “I would </w:t>
      </w:r>
      <w:r w:rsidRPr="00A3316D">
        <w:lastRenderedPageBreak/>
        <w:t xml:space="preserve">have to say, the more involved the instructor was in the discussions, the more involved the students became, so it made it a better overall experience.”  </w:t>
      </w:r>
    </w:p>
    <w:p w:rsidR="00C44B56" w:rsidRPr="00A3316D" w:rsidRDefault="00C44B56" w:rsidP="00C44B56">
      <w:r w:rsidRPr="00A3316D">
        <w:t>Another 44 comments addressed how group assignments helped participants connect to one another and become acquainted with the individuals in the course.  It was best described by one participant who said, “Group work in which we had to</w:t>
      </w:r>
      <w:r>
        <w:t xml:space="preserve"> </w:t>
      </w:r>
      <w:r w:rsidRPr="00A3316D">
        <w:t xml:space="preserve">put a face or a voice to a name always helped me feel more comfortable with class interactions.”  </w:t>
      </w:r>
    </w:p>
    <w:p w:rsidR="00C44B56" w:rsidRPr="00A3316D" w:rsidRDefault="00C44B56" w:rsidP="00C44B56">
      <w:r w:rsidRPr="00A3316D">
        <w:t>Similarly, participants expressed a preference for course activities that allowed some kind of introductions between students at the beginning of the course.  One participant explained, “In one of my classes we had to answer general/personal questions about ourselves and post the answers.  Then we had to read others posts and reply something that we learned about other people in the class.  That helped me to feel connected to some of my fellow class members.”  It is interesting to note that all but one of the</w:t>
      </w:r>
      <w:r>
        <w:t xml:space="preserve"> </w:t>
      </w:r>
      <w:r w:rsidRPr="00A3316D">
        <w:t xml:space="preserve">22 comments </w:t>
      </w:r>
      <w:r>
        <w:t xml:space="preserve">on this question </w:t>
      </w:r>
      <w:r w:rsidRPr="00A3316D">
        <w:t xml:space="preserve">originated from participants who were relatively new to distance education with two or less courses completed.  It may be that students who are new to the online environment place more importance on activities that help them become acquainted with their peers.  </w:t>
      </w:r>
    </w:p>
    <w:p w:rsidR="00C44B56" w:rsidRPr="00A3316D" w:rsidRDefault="00C44B56" w:rsidP="00C44B56">
      <w:r w:rsidRPr="00A3316D">
        <w:t>One final course assignment that helped two participants connect to their peers was preparing presentations for class.  Being able to create presentations and view others’ presentations established a link between students separated by physical distance.  As one participant described, “Presentations…helped me relate more to my fellow classmates.”</w:t>
      </w:r>
    </w:p>
    <w:p w:rsidR="00C44B56" w:rsidRPr="00A3316D" w:rsidRDefault="00C44B56" w:rsidP="001450F1">
      <w:pPr>
        <w:pStyle w:val="Heading4"/>
      </w:pPr>
      <w:r w:rsidRPr="00A3316D">
        <w:t xml:space="preserve">Using </w:t>
      </w:r>
      <w:r w:rsidR="00ED0CEF">
        <w:t>t</w:t>
      </w:r>
      <w:r w:rsidRPr="00A3316D">
        <w:t>echnology</w:t>
      </w:r>
    </w:p>
    <w:p w:rsidR="00C44B56" w:rsidRPr="00A3316D" w:rsidRDefault="00C44B56" w:rsidP="00C44B56">
      <w:r w:rsidRPr="00A3316D">
        <w:t xml:space="preserve">As the previous theme suggests, many participants focused on how course assignments can help them connect to their peers.  Some participants, however, specifically mentioned technological tools that contributed to the strength of the connection.  Twenty comments, mostly from participants with more than four completed online courses, explained that online meeting software used for synchronous class sessions helped them interact with fellow students.  One participant shared, “We had a single online classroom session which allowed everyone to ask questions of the professor with everyone else listening in.  Very helpful.” </w:t>
      </w:r>
    </w:p>
    <w:p w:rsidR="00C44B56" w:rsidRPr="00A3316D" w:rsidRDefault="00C44B56" w:rsidP="00C44B56">
      <w:r w:rsidRPr="00A3316D">
        <w:t>Another technology highlighted by participants was presentation software that allowed students to create and share presentations with visual and audio components so everyone could see and hear the presenter while watching.  Twelve comments mentioned using this technology as one way to connect with peers.  As one participant explained, “These technology components really help to make that connection and put a face with my classmates.”</w:t>
      </w:r>
    </w:p>
    <w:p w:rsidR="00C44B56" w:rsidRPr="00A3316D" w:rsidRDefault="00C44B56" w:rsidP="00C44B56">
      <w:r w:rsidRPr="00A3316D">
        <w:t xml:space="preserve">Similarly, two final comments addressed how the use of a web camera could help participants get to know each other better by sharing real time, visual communication.  One participant observed, “The use of a webcam helped me relate more to my fellow classmates.”  </w:t>
      </w:r>
    </w:p>
    <w:p w:rsidR="00C44B56" w:rsidRPr="00A3316D" w:rsidRDefault="00C44B56" w:rsidP="001450F1">
      <w:pPr>
        <w:pStyle w:val="Heading4"/>
      </w:pPr>
      <w:r w:rsidRPr="00A3316D">
        <w:t xml:space="preserve">Personal </w:t>
      </w:r>
      <w:r w:rsidR="00ED0CEF">
        <w:t>c</w:t>
      </w:r>
      <w:r w:rsidRPr="00A3316D">
        <w:t xml:space="preserve">ommunication between </w:t>
      </w:r>
      <w:r w:rsidR="00ED0CEF">
        <w:t>s</w:t>
      </w:r>
      <w:r w:rsidRPr="00A3316D">
        <w:t>tudents</w:t>
      </w:r>
    </w:p>
    <w:p w:rsidR="00C44B56" w:rsidRPr="00A3316D" w:rsidRDefault="00C44B56" w:rsidP="00C44B56">
      <w:r w:rsidRPr="00A3316D">
        <w:t>A total of 26 comments were directed towards personal communication between students.  A little over half of the comments addressed how the communication originated and what happened as a result of the communication.  For instance, participants explained that they made connections with their peers by e-mailing them and having conversations over the telephone.  This additional step of reaching out to each other also contributed to the sharing of personal information that would not have occurred in the context of classroom activities.  Four comments, all coming from participants who were new to the online environment, identified the formation of a support group as a primary means of connecting with their peers.  One participant explained, “A few of us in the class agreed to join [a web chat room] so we could discuss the class.”</w:t>
      </w:r>
      <w:r w:rsidR="00ED0CEF">
        <w:t xml:space="preserve">  </w:t>
      </w:r>
    </w:p>
    <w:p w:rsidR="00C44B56" w:rsidRPr="00A3316D" w:rsidRDefault="00C44B56" w:rsidP="00C44B56">
      <w:r w:rsidRPr="00A3316D">
        <w:lastRenderedPageBreak/>
        <w:t xml:space="preserve">It is important to note, however, that not all participants felt that they had made connections with peers.  Twelve comments addressed how the lack of effort from classmates in course activities such as discussion forums or live chats left them feeling disconnected.  As one participant shared, “I have felt little to no connection with classmates.  People just post the bare minimum to get the grade, and the instructors do not work to encourage greater interaction.”  All of the participants who shared comments in this theme had completed two or less online courses.  This may indicate a need for instructors to provide clear expectations about what constitutes quality performance in the course.  </w:t>
      </w:r>
    </w:p>
    <w:p w:rsidR="00C44B56" w:rsidRPr="00A3316D" w:rsidRDefault="00ED0CEF" w:rsidP="001450F1">
      <w:pPr>
        <w:pStyle w:val="Heading4"/>
      </w:pPr>
      <w:r w:rsidRPr="00A3316D">
        <w:t>Structure of the course or academic program</w:t>
      </w:r>
    </w:p>
    <w:p w:rsidR="00C44B56" w:rsidRPr="00A3316D" w:rsidRDefault="00C44B56" w:rsidP="00C44B56">
      <w:r w:rsidRPr="00A3316D">
        <w:t>While structure was a small theme</w:t>
      </w:r>
      <w:r>
        <w:t>,</w:t>
      </w:r>
      <w:r w:rsidRPr="00A3316D">
        <w:t xml:space="preserve"> with only 10 comments offered, it is an important concept to consider.  For instance, the academic program in this study has a “cohort model,” meaning that students take all of their courses with others who began the program at the same time.  Four comments highlighted the benefits of this model, with one participant explaining that connections were made based on “the fact that I’m in the same classes with many of them as I’ve gone through my education.”</w:t>
      </w:r>
      <w:r w:rsidR="00ED0CEF">
        <w:t xml:space="preserve">  </w:t>
      </w:r>
    </w:p>
    <w:p w:rsidR="00C44B56" w:rsidRPr="00A3316D" w:rsidRDefault="00C44B56" w:rsidP="00C44B56">
      <w:r w:rsidRPr="00A3316D">
        <w:t>Another four comments focused on how instructors structure communication in a course and what expectations are shared for that communication.  Participants felt more connected with each other when there was some form of required communication every week, along with having an environment that allowed each student to express themselves openly and with respect for their ideas.</w:t>
      </w:r>
    </w:p>
    <w:p w:rsidR="00C44B56" w:rsidRPr="00A3316D" w:rsidRDefault="00C44B56" w:rsidP="00C44B56">
      <w:r w:rsidRPr="00A3316D">
        <w:t xml:space="preserve">Finally, two comments shared the importance of structure for group work that is required, primarily in the area of selecting groups.  As one participant explained, “In [one professor’s] course, we had to select our own group members.  This is very awkward and difficult when you do not know the others in your class.  I think this works fine for a face-to-face course, but not for an online format.”  </w:t>
      </w:r>
    </w:p>
    <w:p w:rsidR="00C44B56" w:rsidRPr="00A3316D" w:rsidRDefault="00C44B56" w:rsidP="00C44B56">
      <w:r w:rsidRPr="00A3316D">
        <w:t xml:space="preserve">It may be important for administrators and instructors to consider the underlying structure of academic programs and individual courses.  Providing a solid organizational foundation that emphasizes how students connect to one another may be essential in constructing an academic environment that promotes student success. </w:t>
      </w:r>
    </w:p>
    <w:p w:rsidR="00C44B56" w:rsidRPr="00A3316D" w:rsidRDefault="00C44B56" w:rsidP="001450F1">
      <w:pPr>
        <w:pStyle w:val="Heading3"/>
      </w:pPr>
      <w:r w:rsidRPr="00A3316D">
        <w:t>Conclusions and recommendations</w:t>
      </w:r>
    </w:p>
    <w:p w:rsidR="00C44B56" w:rsidRPr="00A3316D" w:rsidRDefault="00C44B56" w:rsidP="00C44B56">
      <w:pPr>
        <w:autoSpaceDE w:val="0"/>
        <w:autoSpaceDN w:val="0"/>
        <w:adjustRightInd w:val="0"/>
      </w:pPr>
      <w:r w:rsidRPr="00A3316D">
        <w:t xml:space="preserve">As we continue to expand our travels into the world of online teaching, we find that we are doing many of the same things in online courses that we would do in traditional face-to-face courses.  However, some modifications are required.  It is apparent that creating communities of learners with strong peer connections requires both similar and different teaching approaches and skills. With our awareness heightened regarding the importance of connections for students in online classes, we sought to improve our methods of promoting those connections and an enhanced sense of community among students.  </w:t>
      </w:r>
    </w:p>
    <w:p w:rsidR="00C44B56" w:rsidRPr="00A3316D" w:rsidRDefault="00C44B56" w:rsidP="00C44B56">
      <w:pPr>
        <w:autoSpaceDE w:val="0"/>
        <w:autoSpaceDN w:val="0"/>
        <w:adjustRightInd w:val="0"/>
      </w:pPr>
      <w:r w:rsidRPr="00A3316D">
        <w:t>This study focused on the key methods (both formal and informal) used in an online graduate program to help students form connections with each other.  The researchers quickly noticed the pattern in the survey data resulting in the four major themes analyzed: (a) course assignments, (b) using technology, (c) personal communication between students, and (d) structure of the course or academic program.  All of the findings in the above four categories mimicked activities that are commonly found in the traditional classroom.  The manner in which these activities are proffered, in the online environment, is the only difference.  As with the traditional classroom, online students have a responsibility for the degree in which they connect with their fellow classmates.</w:t>
      </w:r>
    </w:p>
    <w:p w:rsidR="00C44B56" w:rsidRPr="00A3316D" w:rsidRDefault="00C44B56" w:rsidP="00C44B56">
      <w:pPr>
        <w:autoSpaceDE w:val="0"/>
        <w:autoSpaceDN w:val="0"/>
        <w:adjustRightInd w:val="0"/>
      </w:pPr>
      <w:r w:rsidRPr="00A3316D">
        <w:lastRenderedPageBreak/>
        <w:t>The activities noted in the area of course assignments included student introductions, class discussions, group work, and student presentations.  Although facilitated a little differently in the online classroom, all of these student activities take place in the traditional classroom with the instructor acting as facilitator.  The faculty member determines how often these occur and at what grade value.  Students see the magnitude of these activities based on the preponderance of points awarded for course assignments.  They also realize the enhanced peer connections resulting from these requirements.</w:t>
      </w:r>
    </w:p>
    <w:p w:rsidR="00C44B56" w:rsidRPr="00A3316D" w:rsidRDefault="00C44B56" w:rsidP="00C44B56">
      <w:pPr>
        <w:autoSpaceDE w:val="0"/>
        <w:autoSpaceDN w:val="0"/>
        <w:adjustRightInd w:val="0"/>
      </w:pPr>
      <w:r w:rsidRPr="00A3316D">
        <w:t>Since students also reported that using the technology for both the course content and for personal communications improved their online learning experience, we can conclude the proliferation of distance education has brought additional benefits.  The technology of online meeting software, shared video presentations, podcasts, blogs, email and online support groups provides opportunities for students to connect with each other in ways that allow for both real time and asynchronous involvement.  Traditional classrooms only allow for the real time experiences while technology affords many additional opportunities for connecting with peers.</w:t>
      </w:r>
    </w:p>
    <w:p w:rsidR="00C44B56" w:rsidRPr="00A3316D" w:rsidRDefault="00C44B56" w:rsidP="00C44B56">
      <w:pPr>
        <w:autoSpaceDE w:val="0"/>
        <w:autoSpaceDN w:val="0"/>
        <w:adjustRightInd w:val="0"/>
      </w:pPr>
      <w:r w:rsidRPr="00A3316D">
        <w:t>The final theme noted in the survey research of course structure is one that falls totally in the hands of the program and/or instructor.  It was obvious that the cohort model is a strong foundation for building the desired student peer connections.  Taking subsequent courses with fellow students with which you initially entered an academic program strengthens the connection.  A shared experience over a period of time promotes both frequent and consistent communication and the formation of groups and subgroups.  Many of these groups are formed by the requirements of the course and the instructor mandates membership while others form informally and naturally develop as a result of the shared experience.</w:t>
      </w:r>
    </w:p>
    <w:p w:rsidR="00C44B56" w:rsidRPr="00A3316D" w:rsidRDefault="00C44B56" w:rsidP="00C44B56">
      <w:pPr>
        <w:autoSpaceDE w:val="0"/>
        <w:autoSpaceDN w:val="0"/>
        <w:adjustRightInd w:val="0"/>
        <w:rPr>
          <w:rFonts w:cs="Georgia"/>
        </w:rPr>
      </w:pPr>
      <w:r w:rsidRPr="00A3316D">
        <w:t>As faculty teaching online courses, we are not only concerned with the development of peer connections of our students, but with student satisfaction with the online learning environment, their online performance, and knowledge construction. Surveying students’ perceptions of peer connections in an online classroom is a critical issue in the continued and growing use of technology to educate. Considering the foundation of the constructivist learning environment, our results indicate</w:t>
      </w:r>
      <w:r w:rsidRPr="00A3316D">
        <w:rPr>
          <w:rFonts w:ascii="Georgia" w:hAnsi="Georgia" w:cs="Georgia"/>
        </w:rPr>
        <w:t xml:space="preserve"> the </w:t>
      </w:r>
      <w:r w:rsidRPr="00A3316D">
        <w:rPr>
          <w:rFonts w:cs="Georgia"/>
        </w:rPr>
        <w:t>importance of fostering strong peer connections for learning in which students can connect personal experiences to new material.</w:t>
      </w:r>
    </w:p>
    <w:p w:rsidR="00C44B56" w:rsidRPr="00A3316D" w:rsidRDefault="00C44B56" w:rsidP="00C44B56">
      <w:pPr>
        <w:autoSpaceDE w:val="0"/>
        <w:autoSpaceDN w:val="0"/>
        <w:adjustRightInd w:val="0"/>
        <w:rPr>
          <w:rFonts w:cs="Georgia"/>
        </w:rPr>
      </w:pPr>
      <w:r w:rsidRPr="00A3316D">
        <w:rPr>
          <w:rFonts w:cs="Georgia"/>
        </w:rPr>
        <w:t xml:space="preserve">Future research is recommended particularly regarding the impact peer connections have on student learning in the online classroom.  In addition, the role of the instructor in the four areas noted by students as enhancing their connections to fellow students should be explored.  For example, how instructors use online discussions and ways to structure those discussions to enhance student participation, learning and the impact on persistence is worth exploring. Is the instructor’s role to answer questions and validate students’ comments or to actively engage in the ongoing academic discussion?  The constructivist view requires the faculty member to facilitate learning by providing encouragement and asking probing questions (Rovai, 2007).  Discovering the influence of instructor presence in the class discussions may prove vital to student performance in the online classroom. </w:t>
      </w:r>
    </w:p>
    <w:p w:rsidR="00C44B56" w:rsidRPr="00A3316D" w:rsidRDefault="00C44B56" w:rsidP="00C44B56">
      <w:pPr>
        <w:autoSpaceDE w:val="0"/>
        <w:autoSpaceDN w:val="0"/>
        <w:adjustRightInd w:val="0"/>
        <w:rPr>
          <w:rFonts w:cs="Georgia"/>
        </w:rPr>
      </w:pPr>
      <w:r>
        <w:rPr>
          <w:rFonts w:cs="Georgia"/>
        </w:rPr>
        <w:t>One specific issue</w:t>
      </w:r>
      <w:r w:rsidRPr="00A3316D">
        <w:rPr>
          <w:rFonts w:cs="Georgia"/>
        </w:rPr>
        <w:t xml:space="preserve"> in need of additional research is the balance between the quality of interactions and the quantity of interactions and the impact on peer connections. Management and membership of classroom learning communities and promotion of peer connections is vital to quality teaching.  Learning activities should increase student knowledge, promote learner satisfaction and performance, and strengthen a sense of community and peer connectedness. It has strengthened our desire to continue learning about the quality of our teaching and our contributions as online teaching faculty.</w:t>
      </w:r>
    </w:p>
    <w:p w:rsidR="00C44B56" w:rsidRDefault="00C44B56" w:rsidP="00C44B56">
      <w:r w:rsidRPr="00CB321A">
        <w:t>In conclusion, the</w:t>
      </w:r>
      <w:r>
        <w:t xml:space="preserve"> present study offers initial insights into pedagogical approaches that might improve student peer-to-peer interactions in online learning environments.  The concepts used to </w:t>
      </w:r>
      <w:r>
        <w:lastRenderedPageBreak/>
        <w:t>introduce and engage students in the content of a class may result in deeper, more meaningful learning experiences and outcomes.  Additional research will be beneficial to explore how other populations approach peer-interactions in online learning and the influences of these interactions on learning.</w:t>
      </w:r>
    </w:p>
    <w:p w:rsidR="00C44B56" w:rsidRPr="00A3316D" w:rsidRDefault="00C44B56" w:rsidP="00C44B56">
      <w:pPr>
        <w:rPr>
          <w:b/>
        </w:rPr>
      </w:pPr>
    </w:p>
    <w:p w:rsidR="00C44B56" w:rsidRPr="00A3316D" w:rsidRDefault="00C44B56" w:rsidP="001450F1">
      <w:pPr>
        <w:pStyle w:val="Heading3"/>
      </w:pPr>
      <w:r w:rsidRPr="00A3316D">
        <w:t>References</w:t>
      </w:r>
    </w:p>
    <w:p w:rsidR="00C44B56" w:rsidRPr="001450F1" w:rsidRDefault="00C44B56" w:rsidP="00D73713">
      <w:pPr>
        <w:ind w:left="720" w:hanging="720"/>
        <w:rPr>
          <w:sz w:val="20"/>
        </w:rPr>
      </w:pPr>
      <w:r w:rsidRPr="001450F1">
        <w:rPr>
          <w:sz w:val="20"/>
        </w:rPr>
        <w:t xml:space="preserve">Almala, A. H. (2006). Applying the principles of constructivism to a quality e-learning environment.  </w:t>
      </w:r>
      <w:r w:rsidRPr="001450F1">
        <w:rPr>
          <w:i/>
          <w:sz w:val="20"/>
        </w:rPr>
        <w:t>Distance Education, 3</w:t>
      </w:r>
      <w:r w:rsidRPr="001450F1">
        <w:rPr>
          <w:sz w:val="20"/>
        </w:rPr>
        <w:t>(1), 33-40.</w:t>
      </w:r>
    </w:p>
    <w:p w:rsidR="00C44B56" w:rsidRPr="001450F1" w:rsidRDefault="00C44B56" w:rsidP="00D73713">
      <w:pPr>
        <w:ind w:left="720" w:hanging="720"/>
        <w:rPr>
          <w:sz w:val="20"/>
        </w:rPr>
      </w:pPr>
      <w:r w:rsidRPr="001450F1">
        <w:rPr>
          <w:sz w:val="20"/>
        </w:rPr>
        <w:t xml:space="preserve">Cho, M., &amp; Kim, B. (2013). Students' self-regulation for interaction with others in online learning environments. </w:t>
      </w:r>
      <w:r w:rsidRPr="001450F1">
        <w:rPr>
          <w:i/>
          <w:iCs/>
          <w:sz w:val="20"/>
        </w:rPr>
        <w:t>Internet and Higher Education</w:t>
      </w:r>
      <w:r w:rsidRPr="001450F1">
        <w:rPr>
          <w:sz w:val="20"/>
        </w:rPr>
        <w:t xml:space="preserve">, </w:t>
      </w:r>
      <w:r w:rsidRPr="001450F1">
        <w:rPr>
          <w:i/>
          <w:sz w:val="20"/>
        </w:rPr>
        <w:t>17</w:t>
      </w:r>
      <w:r w:rsidRPr="001450F1">
        <w:rPr>
          <w:sz w:val="20"/>
        </w:rPr>
        <w:t xml:space="preserve">(1), </w:t>
      </w:r>
      <w:r w:rsidRPr="001450F1">
        <w:rPr>
          <w:iCs/>
          <w:sz w:val="20"/>
        </w:rPr>
        <w:t>17</w:t>
      </w:r>
      <w:r w:rsidRPr="001450F1">
        <w:rPr>
          <w:sz w:val="20"/>
        </w:rPr>
        <w:t>69-1775.</w:t>
      </w:r>
    </w:p>
    <w:p w:rsidR="00C44B56" w:rsidRPr="001450F1" w:rsidRDefault="00C44B56" w:rsidP="00D73713">
      <w:pPr>
        <w:ind w:left="720" w:hanging="720"/>
        <w:rPr>
          <w:sz w:val="20"/>
        </w:rPr>
      </w:pPr>
      <w:r w:rsidRPr="001450F1">
        <w:rPr>
          <w:sz w:val="20"/>
        </w:rPr>
        <w:t xml:space="preserve">Harris, H. S., &amp; Martin, E. W. (2012). Student motivations for choosing online classes. </w:t>
      </w:r>
      <w:r w:rsidRPr="001450F1">
        <w:rPr>
          <w:i/>
          <w:sz w:val="20"/>
        </w:rPr>
        <w:t>International Journal for the Scholarship of Teaching and Learning, 6</w:t>
      </w:r>
      <w:r w:rsidRPr="001450F1">
        <w:rPr>
          <w:sz w:val="20"/>
        </w:rPr>
        <w:t>(2), pp. 1-9.</w:t>
      </w:r>
    </w:p>
    <w:p w:rsidR="00C44B56" w:rsidRPr="001450F1" w:rsidRDefault="00C44B56" w:rsidP="00D73713">
      <w:pPr>
        <w:ind w:left="720" w:hanging="720"/>
        <w:rPr>
          <w:sz w:val="20"/>
        </w:rPr>
      </w:pPr>
      <w:r w:rsidRPr="001450F1">
        <w:rPr>
          <w:sz w:val="20"/>
        </w:rPr>
        <w:t xml:space="preserve">Ingram, A. L. (2005). Engagement in online learning communities.  In J. Bourne &amp; J.C. Moore (Eds.), </w:t>
      </w:r>
      <w:r w:rsidRPr="001450F1">
        <w:rPr>
          <w:i/>
          <w:sz w:val="20"/>
        </w:rPr>
        <w:t>Elements of quality online education: Engaging communities</w:t>
      </w:r>
      <w:r w:rsidRPr="001450F1">
        <w:rPr>
          <w:sz w:val="20"/>
        </w:rPr>
        <w:t xml:space="preserve">, </w:t>
      </w:r>
      <w:r w:rsidRPr="001450F1">
        <w:rPr>
          <w:i/>
          <w:sz w:val="20"/>
        </w:rPr>
        <w:t>6</w:t>
      </w:r>
      <w:r w:rsidRPr="001450F1">
        <w:rPr>
          <w:sz w:val="20"/>
        </w:rPr>
        <w:t>. Needham, MA: Sloan-C.</w:t>
      </w:r>
    </w:p>
    <w:p w:rsidR="00C44B56" w:rsidRPr="001450F1" w:rsidRDefault="00C44B56" w:rsidP="00D73713">
      <w:pPr>
        <w:ind w:left="720" w:hanging="720"/>
        <w:rPr>
          <w:sz w:val="20"/>
        </w:rPr>
      </w:pPr>
      <w:r w:rsidRPr="001450F1">
        <w:rPr>
          <w:sz w:val="20"/>
        </w:rPr>
        <w:t xml:space="preserve">Kuyath, S. J. (2008). </w:t>
      </w:r>
      <w:r w:rsidRPr="001450F1">
        <w:rPr>
          <w:i/>
          <w:iCs/>
          <w:sz w:val="20"/>
        </w:rPr>
        <w:t>The social presence of instant messaging: Effects on student satisfaction, perceived learning, and performance in distance education</w:t>
      </w:r>
      <w:r w:rsidRPr="001450F1">
        <w:rPr>
          <w:iCs/>
          <w:sz w:val="20"/>
        </w:rPr>
        <w:t xml:space="preserve"> (Doctoral dissertation)</w:t>
      </w:r>
      <w:r w:rsidRPr="001450F1">
        <w:rPr>
          <w:sz w:val="20"/>
        </w:rPr>
        <w:t>. Retrieved from ProQuest. (</w:t>
      </w:r>
      <w:r w:rsidRPr="001450F1">
        <w:rPr>
          <w:rStyle w:val="subjectfield-postprocessinghook"/>
          <w:sz w:val="20"/>
        </w:rPr>
        <w:t>3320887)</w:t>
      </w:r>
    </w:p>
    <w:p w:rsidR="00C44B56" w:rsidRPr="001450F1" w:rsidRDefault="00C44B56" w:rsidP="00D73713">
      <w:pPr>
        <w:ind w:left="720" w:hanging="720"/>
        <w:rPr>
          <w:sz w:val="20"/>
        </w:rPr>
      </w:pPr>
      <w:r w:rsidRPr="001450F1">
        <w:rPr>
          <w:sz w:val="20"/>
        </w:rPr>
        <w:t xml:space="preserve">Lowenthal, P. R., &amp; Dunlap, J. C. (2010).  From pixel on a screen to real person in your students’ lives: Establishing social presence using digital storytelling.  </w:t>
      </w:r>
      <w:r w:rsidRPr="001450F1">
        <w:rPr>
          <w:i/>
          <w:sz w:val="20"/>
        </w:rPr>
        <w:t>Internet and Higher Education, 13</w:t>
      </w:r>
      <w:r w:rsidRPr="001450F1">
        <w:rPr>
          <w:sz w:val="20"/>
        </w:rPr>
        <w:t>, 70-72.</w:t>
      </w:r>
    </w:p>
    <w:p w:rsidR="00C44B56" w:rsidRPr="001450F1" w:rsidRDefault="00C44B56" w:rsidP="00D73713">
      <w:pPr>
        <w:ind w:left="720" w:hanging="720"/>
        <w:rPr>
          <w:sz w:val="20"/>
        </w:rPr>
      </w:pPr>
      <w:r w:rsidRPr="001450F1">
        <w:rPr>
          <w:sz w:val="20"/>
        </w:rPr>
        <w:t xml:space="preserve">Mayes, T. (2001). Learning technologies and learning relationships. In J. Stephenson (Ed.), </w:t>
      </w:r>
      <w:r w:rsidRPr="001450F1">
        <w:rPr>
          <w:i/>
          <w:sz w:val="20"/>
        </w:rPr>
        <w:t>Teaching and learning online pedagogies for new technologies</w:t>
      </w:r>
      <w:r w:rsidRPr="001450F1">
        <w:rPr>
          <w:sz w:val="20"/>
        </w:rPr>
        <w:t xml:space="preserve"> (pp.16-25). London: Kogan Page.</w:t>
      </w:r>
    </w:p>
    <w:p w:rsidR="00C44B56" w:rsidRPr="001450F1" w:rsidRDefault="00C44B56" w:rsidP="00D73713">
      <w:pPr>
        <w:ind w:left="720" w:hanging="720"/>
        <w:rPr>
          <w:sz w:val="20"/>
        </w:rPr>
      </w:pPr>
      <w:r w:rsidRPr="001450F1">
        <w:rPr>
          <w:sz w:val="20"/>
        </w:rPr>
        <w:t xml:space="preserve">Nurmela, C., Palonen, T., Lehtinen, E., &amp; Hakkarainen, K. (2003) Developing tools for analyzing CSCL process. In B. Wasson, S. Ludvigsen, &amp; U. Hoppe (Eds.), </w:t>
      </w:r>
      <w:r w:rsidRPr="001450F1">
        <w:rPr>
          <w:i/>
          <w:sz w:val="20"/>
        </w:rPr>
        <w:t>Designing for change in networked learning environments</w:t>
      </w:r>
      <w:r w:rsidRPr="001450F1">
        <w:rPr>
          <w:sz w:val="20"/>
        </w:rPr>
        <w:t xml:space="preserve"> (pp. 333-342). Dordrecht, The Netherlands: Kluwer.</w:t>
      </w:r>
    </w:p>
    <w:p w:rsidR="00C44B56" w:rsidRPr="001450F1" w:rsidRDefault="00C44B56" w:rsidP="00D73713">
      <w:pPr>
        <w:ind w:left="720" w:hanging="720"/>
        <w:rPr>
          <w:sz w:val="20"/>
        </w:rPr>
      </w:pPr>
      <w:r w:rsidRPr="001450F1">
        <w:rPr>
          <w:sz w:val="20"/>
        </w:rPr>
        <w:t xml:space="preserve">Noddings, N. (2006). </w:t>
      </w:r>
      <w:r w:rsidRPr="001450F1">
        <w:rPr>
          <w:i/>
          <w:sz w:val="20"/>
        </w:rPr>
        <w:t xml:space="preserve">Philosophy of education </w:t>
      </w:r>
      <w:r w:rsidRPr="001450F1">
        <w:rPr>
          <w:sz w:val="20"/>
        </w:rPr>
        <w:t>(2</w:t>
      </w:r>
      <w:r w:rsidRPr="001450F1">
        <w:rPr>
          <w:sz w:val="20"/>
          <w:vertAlign w:val="superscript"/>
        </w:rPr>
        <w:t>nd</w:t>
      </w:r>
      <w:r w:rsidRPr="001450F1">
        <w:rPr>
          <w:sz w:val="20"/>
        </w:rPr>
        <w:t xml:space="preserve"> ed)</w:t>
      </w:r>
      <w:r w:rsidRPr="001450F1">
        <w:rPr>
          <w:i/>
          <w:sz w:val="20"/>
        </w:rPr>
        <w:t xml:space="preserve">. </w:t>
      </w:r>
      <w:r w:rsidRPr="001450F1">
        <w:rPr>
          <w:sz w:val="20"/>
        </w:rPr>
        <w:t>New York, NY: Perseus Books.</w:t>
      </w:r>
    </w:p>
    <w:p w:rsidR="00C44B56" w:rsidRPr="001450F1" w:rsidRDefault="00C44B56" w:rsidP="00D73713">
      <w:pPr>
        <w:ind w:left="720" w:hanging="720"/>
        <w:rPr>
          <w:sz w:val="20"/>
        </w:rPr>
      </w:pPr>
      <w:r w:rsidRPr="001450F1">
        <w:rPr>
          <w:sz w:val="20"/>
        </w:rPr>
        <w:t xml:space="preserve">Ormand, J. E. (2008). </w:t>
      </w:r>
      <w:r w:rsidRPr="001450F1">
        <w:rPr>
          <w:i/>
          <w:sz w:val="20"/>
        </w:rPr>
        <w:t>Educational psychology: Developing learners</w:t>
      </w:r>
      <w:r w:rsidRPr="001450F1">
        <w:rPr>
          <w:sz w:val="20"/>
        </w:rPr>
        <w:t>. Upper Saddle River, NJ: Pearson Merrill Prentice Hall.</w:t>
      </w:r>
    </w:p>
    <w:p w:rsidR="00C44B56" w:rsidRPr="001450F1" w:rsidRDefault="00C44B56" w:rsidP="00D73713">
      <w:pPr>
        <w:ind w:left="720" w:hanging="720"/>
        <w:rPr>
          <w:sz w:val="20"/>
        </w:rPr>
      </w:pPr>
      <w:r w:rsidRPr="001450F1">
        <w:rPr>
          <w:sz w:val="20"/>
        </w:rPr>
        <w:t xml:space="preserve">Pascarella, E.T. &amp; Terenzini, P.T. (2005).  </w:t>
      </w:r>
      <w:r w:rsidRPr="001450F1">
        <w:rPr>
          <w:i/>
          <w:sz w:val="20"/>
        </w:rPr>
        <w:t>How college affects students</w:t>
      </w:r>
      <w:r w:rsidRPr="001450F1">
        <w:rPr>
          <w:sz w:val="20"/>
        </w:rPr>
        <w:t>.  San Francisco, CA:  Jossey-Bass.</w:t>
      </w:r>
    </w:p>
    <w:p w:rsidR="00C44B56" w:rsidRPr="001450F1" w:rsidRDefault="00C44B56" w:rsidP="00D73713">
      <w:pPr>
        <w:ind w:left="720" w:hanging="720"/>
        <w:rPr>
          <w:sz w:val="20"/>
        </w:rPr>
      </w:pPr>
      <w:r w:rsidRPr="001450F1">
        <w:rPr>
          <w:sz w:val="20"/>
        </w:rPr>
        <w:t>Perkins, D. (2009</w:t>
      </w:r>
      <w:r w:rsidRPr="001450F1">
        <w:rPr>
          <w:i/>
          <w:sz w:val="20"/>
        </w:rPr>
        <w:t>). Making learning whole: How seven principles of teaching can transform education.</w:t>
      </w:r>
      <w:r w:rsidRPr="001450F1">
        <w:rPr>
          <w:sz w:val="20"/>
        </w:rPr>
        <w:t xml:space="preserve"> San Francisco, CA: Jossey-Bass.</w:t>
      </w:r>
    </w:p>
    <w:p w:rsidR="00C44B56" w:rsidRPr="001450F1" w:rsidRDefault="00C44B56" w:rsidP="00D73713">
      <w:pPr>
        <w:ind w:left="720" w:hanging="720"/>
        <w:rPr>
          <w:sz w:val="20"/>
        </w:rPr>
      </w:pPr>
      <w:r w:rsidRPr="001450F1">
        <w:rPr>
          <w:sz w:val="20"/>
        </w:rPr>
        <w:t xml:space="preserve">Puntambekar, S. (2006). Analyzing collaborative interactions: Divergence, shared understanding and construction of knowledge.  </w:t>
      </w:r>
      <w:r w:rsidRPr="001450F1">
        <w:rPr>
          <w:i/>
          <w:sz w:val="20"/>
        </w:rPr>
        <w:t>Computers &amp; Education, 46</w:t>
      </w:r>
      <w:r w:rsidRPr="001450F1">
        <w:rPr>
          <w:sz w:val="20"/>
        </w:rPr>
        <w:t>, 332-351.</w:t>
      </w:r>
    </w:p>
    <w:p w:rsidR="00C44B56" w:rsidRPr="001450F1" w:rsidRDefault="00C44B56" w:rsidP="00D73713">
      <w:pPr>
        <w:ind w:left="720" w:hanging="720"/>
        <w:rPr>
          <w:sz w:val="20"/>
        </w:rPr>
      </w:pPr>
      <w:r w:rsidRPr="001450F1">
        <w:rPr>
          <w:sz w:val="20"/>
        </w:rPr>
        <w:t xml:space="preserve">Robley, L. R., Farnsworth, B. J., Flynn, J. B., &amp; Horne, C. D. (2004). This new house: Building knowledge through online learning. </w:t>
      </w:r>
      <w:r w:rsidRPr="001450F1">
        <w:rPr>
          <w:i/>
          <w:sz w:val="20"/>
        </w:rPr>
        <w:t>Journal of Professional Nursing</w:t>
      </w:r>
      <w:r w:rsidRPr="001450F1">
        <w:rPr>
          <w:sz w:val="20"/>
        </w:rPr>
        <w:t>,</w:t>
      </w:r>
      <w:r w:rsidRPr="001450F1">
        <w:rPr>
          <w:i/>
          <w:sz w:val="20"/>
        </w:rPr>
        <w:t xml:space="preserve"> 20</w:t>
      </w:r>
      <w:r w:rsidRPr="001450F1">
        <w:rPr>
          <w:sz w:val="20"/>
        </w:rPr>
        <w:t>(5), 333-343.</w:t>
      </w:r>
    </w:p>
    <w:p w:rsidR="00C44B56" w:rsidRPr="001450F1" w:rsidRDefault="00C44B56" w:rsidP="00D73713">
      <w:pPr>
        <w:autoSpaceDE w:val="0"/>
        <w:autoSpaceDN w:val="0"/>
        <w:adjustRightInd w:val="0"/>
        <w:ind w:left="720" w:hanging="720"/>
        <w:rPr>
          <w:sz w:val="20"/>
        </w:rPr>
      </w:pPr>
      <w:r w:rsidRPr="001450F1">
        <w:rPr>
          <w:sz w:val="20"/>
        </w:rPr>
        <w:t xml:space="preserve">Roby, T., Ashe, S., Singh, N. &amp; Clark, C. (2012). Shaping the online experience: How administrators can influence student and instructor perceptions through policy and practice. </w:t>
      </w:r>
      <w:r w:rsidRPr="001450F1">
        <w:rPr>
          <w:i/>
          <w:iCs/>
          <w:sz w:val="20"/>
        </w:rPr>
        <w:t>The Internet and Higher Education, 17</w:t>
      </w:r>
      <w:r w:rsidRPr="001450F1">
        <w:rPr>
          <w:iCs/>
          <w:sz w:val="20"/>
        </w:rPr>
        <w:t>, 29-37.</w:t>
      </w:r>
      <w:r w:rsidRPr="001450F1">
        <w:rPr>
          <w:i/>
          <w:iCs/>
          <w:sz w:val="20"/>
        </w:rPr>
        <w:t xml:space="preserve"> </w:t>
      </w:r>
      <w:r w:rsidRPr="001450F1">
        <w:rPr>
          <w:sz w:val="20"/>
        </w:rPr>
        <w:t>doi: 10.1016/j.iheduc.2012.09.004</w:t>
      </w:r>
    </w:p>
    <w:p w:rsidR="00C44B56" w:rsidRPr="001450F1" w:rsidRDefault="00C44B56" w:rsidP="00D73713">
      <w:pPr>
        <w:ind w:left="720" w:hanging="720"/>
        <w:rPr>
          <w:sz w:val="20"/>
        </w:rPr>
      </w:pPr>
      <w:r w:rsidRPr="001450F1">
        <w:rPr>
          <w:sz w:val="20"/>
        </w:rPr>
        <w:t xml:space="preserve">Rovai, A. P. (2007). Facilitating online discussions effectively. </w:t>
      </w:r>
      <w:r w:rsidRPr="001450F1">
        <w:rPr>
          <w:i/>
          <w:sz w:val="20"/>
        </w:rPr>
        <w:t>Internet and Higher Education</w:t>
      </w:r>
      <w:r w:rsidRPr="001450F1">
        <w:rPr>
          <w:sz w:val="20"/>
        </w:rPr>
        <w:t xml:space="preserve">, </w:t>
      </w:r>
      <w:r w:rsidRPr="001450F1">
        <w:rPr>
          <w:i/>
          <w:sz w:val="20"/>
        </w:rPr>
        <w:t>10</w:t>
      </w:r>
      <w:r w:rsidRPr="001450F1">
        <w:rPr>
          <w:sz w:val="20"/>
        </w:rPr>
        <w:t>, 77-88.</w:t>
      </w:r>
    </w:p>
    <w:p w:rsidR="00C44B56" w:rsidRPr="001450F1" w:rsidRDefault="00C44B56" w:rsidP="00D73713">
      <w:pPr>
        <w:ind w:left="720" w:hanging="720"/>
        <w:rPr>
          <w:sz w:val="20"/>
        </w:rPr>
      </w:pPr>
      <w:r w:rsidRPr="001450F1">
        <w:rPr>
          <w:sz w:val="20"/>
        </w:rPr>
        <w:t xml:space="preserve">Tucker, V. (2012, April). Facebooking in distance education: Constructing virtual communities of practice.  Paper presented at the Technology, College and Community Worldwide Online Conference. </w:t>
      </w:r>
      <w:r w:rsidRPr="001450F1">
        <w:rPr>
          <w:i/>
          <w:sz w:val="20"/>
        </w:rPr>
        <w:t>TCC Proceeding, 2012</w:t>
      </w:r>
      <w:r w:rsidRPr="001450F1">
        <w:rPr>
          <w:sz w:val="20"/>
        </w:rPr>
        <w:t>(1), 62-80.</w:t>
      </w:r>
    </w:p>
    <w:p w:rsidR="00C44B56" w:rsidRPr="001450F1" w:rsidRDefault="00C44B56" w:rsidP="00D73713">
      <w:pPr>
        <w:ind w:left="720" w:hanging="720"/>
        <w:rPr>
          <w:sz w:val="20"/>
        </w:rPr>
      </w:pPr>
      <w:r w:rsidRPr="001450F1">
        <w:rPr>
          <w:sz w:val="20"/>
        </w:rPr>
        <w:t xml:space="preserve">Van Merrienboer, J. J. G., &amp; Paas, F. (2003). Powerful learning and the many faces of instructional design: Towards a framework for the design of powerful learning environments. In E. De Corte, L. </w:t>
      </w:r>
      <w:r w:rsidRPr="001450F1">
        <w:rPr>
          <w:sz w:val="20"/>
        </w:rPr>
        <w:lastRenderedPageBreak/>
        <w:t>Verschaffel, N. Enstwistle, &amp; J. J. G. Van Merrienboer (Eds</w:t>
      </w:r>
      <w:r w:rsidRPr="001450F1">
        <w:rPr>
          <w:i/>
          <w:sz w:val="20"/>
        </w:rPr>
        <w:t>.), Powerful learning environments: Unraveling basic compoents and dimensions.</w:t>
      </w:r>
      <w:r w:rsidRPr="001450F1">
        <w:rPr>
          <w:sz w:val="20"/>
        </w:rPr>
        <w:t xml:space="preserve"> Oxford: Elsevier Science.</w:t>
      </w:r>
    </w:p>
    <w:p w:rsidR="00C44B56" w:rsidRPr="001450F1" w:rsidRDefault="00C44B56" w:rsidP="00D73713">
      <w:pPr>
        <w:ind w:left="720" w:hanging="720"/>
        <w:rPr>
          <w:sz w:val="20"/>
        </w:rPr>
      </w:pPr>
      <w:r w:rsidRPr="001450F1">
        <w:rPr>
          <w:sz w:val="20"/>
        </w:rPr>
        <w:t xml:space="preserve">Waltonen-Moore, S., Stuart, D., Newton, E., Oswald, R., &amp; Varonis, E. (2008).  From virtual strangers to a cohesive online learning community: The evolution of online group development in a professional development course.  </w:t>
      </w:r>
      <w:r w:rsidRPr="001450F1">
        <w:rPr>
          <w:i/>
          <w:sz w:val="20"/>
        </w:rPr>
        <w:t>Journal of Technology and Teacher Education, 14</w:t>
      </w:r>
      <w:r w:rsidRPr="001450F1">
        <w:rPr>
          <w:sz w:val="20"/>
        </w:rPr>
        <w:t>(2), 287-311.</w:t>
      </w:r>
    </w:p>
    <w:p w:rsidR="00C44B56" w:rsidRPr="001450F1" w:rsidRDefault="00C44B56" w:rsidP="00D73713">
      <w:pPr>
        <w:ind w:left="720" w:hanging="720"/>
        <w:rPr>
          <w:sz w:val="20"/>
        </w:rPr>
      </w:pPr>
      <w:r w:rsidRPr="001450F1">
        <w:rPr>
          <w:sz w:val="20"/>
        </w:rPr>
        <w:t xml:space="preserve">Woods, R., &amp; Ebersol, S. (2003).  Using non-subject-matter-specific discussion boards to build connectedness in online learning.  </w:t>
      </w:r>
      <w:r w:rsidRPr="001450F1">
        <w:rPr>
          <w:i/>
          <w:sz w:val="20"/>
        </w:rPr>
        <w:t>The American Journal of Distance Education</w:t>
      </w:r>
      <w:r w:rsidRPr="001450F1">
        <w:rPr>
          <w:sz w:val="20"/>
        </w:rPr>
        <w:t xml:space="preserve">, </w:t>
      </w:r>
      <w:r w:rsidRPr="001450F1">
        <w:rPr>
          <w:i/>
          <w:sz w:val="20"/>
        </w:rPr>
        <w:t>17</w:t>
      </w:r>
      <w:r w:rsidRPr="001450F1">
        <w:rPr>
          <w:sz w:val="20"/>
        </w:rPr>
        <w:t>(3), 99-112.</w:t>
      </w:r>
    </w:p>
    <w:p w:rsidR="00C44B56" w:rsidRPr="001450F1" w:rsidRDefault="00C44B56" w:rsidP="00D73713">
      <w:pPr>
        <w:ind w:left="720" w:hanging="720"/>
        <w:rPr>
          <w:sz w:val="20"/>
        </w:rPr>
      </w:pPr>
      <w:r w:rsidRPr="001450F1">
        <w:rPr>
          <w:sz w:val="20"/>
        </w:rPr>
        <w:t xml:space="preserve">Xie, K., &amp; Ke, F. (2011). The role of students' motivation in peer-moderated asynchronous online discussions. </w:t>
      </w:r>
      <w:r w:rsidRPr="001450F1">
        <w:rPr>
          <w:i/>
          <w:iCs/>
          <w:sz w:val="20"/>
        </w:rPr>
        <w:t>British Journal of Educational Technology</w:t>
      </w:r>
      <w:r w:rsidRPr="001450F1">
        <w:rPr>
          <w:sz w:val="20"/>
        </w:rPr>
        <w:t xml:space="preserve">, </w:t>
      </w:r>
      <w:r w:rsidRPr="001450F1">
        <w:rPr>
          <w:i/>
          <w:iCs/>
          <w:sz w:val="20"/>
        </w:rPr>
        <w:t>42</w:t>
      </w:r>
      <w:r w:rsidRPr="001450F1">
        <w:rPr>
          <w:sz w:val="20"/>
        </w:rPr>
        <w:t>(6), 916-930. doi:10.1111/j.1467-8535.2010.01140.x</w:t>
      </w:r>
    </w:p>
    <w:p w:rsidR="00C44B56" w:rsidRPr="001450F1" w:rsidRDefault="00C44B56" w:rsidP="00D73713">
      <w:pPr>
        <w:ind w:left="720" w:hanging="720"/>
        <w:rPr>
          <w:sz w:val="20"/>
        </w:rPr>
      </w:pPr>
      <w:r w:rsidRPr="001450F1">
        <w:rPr>
          <w:sz w:val="20"/>
        </w:rPr>
        <w:t xml:space="preserve">Zhu, C. (2012). Student satisfaction, performance, and knowledge construction in online collaborative learning. </w:t>
      </w:r>
      <w:r w:rsidRPr="001450F1">
        <w:rPr>
          <w:i/>
          <w:sz w:val="20"/>
        </w:rPr>
        <w:t>Educational Technology &amp; Society, 15</w:t>
      </w:r>
      <w:r w:rsidRPr="001450F1">
        <w:rPr>
          <w:sz w:val="20"/>
        </w:rPr>
        <w:t>(1), 127-136.</w:t>
      </w:r>
    </w:p>
    <w:p w:rsidR="00DA6701" w:rsidRDefault="00DA6701">
      <w:pPr>
        <w:spacing w:before="0" w:after="0"/>
        <w:rPr>
          <w:rFonts w:ascii="Arial" w:hAnsi="Arial"/>
          <w:b/>
          <w:noProof/>
          <w:sz w:val="24"/>
        </w:rPr>
      </w:pPr>
    </w:p>
    <w:p w:rsidR="00C44B56" w:rsidRPr="005C2BDC" w:rsidRDefault="00C44B56" w:rsidP="001450F1">
      <w:pPr>
        <w:pStyle w:val="Heading3"/>
      </w:pPr>
      <w:r w:rsidRPr="005C2BDC">
        <w:t>About the authors</w:t>
      </w:r>
    </w:p>
    <w:p w:rsidR="00DA6701" w:rsidRDefault="00C44B56" w:rsidP="00C44B56">
      <w:r w:rsidRPr="001450F1">
        <w:rPr>
          <w:rFonts w:ascii="Arial" w:hAnsi="Arial" w:cs="Arial"/>
          <w:b/>
          <w:sz w:val="24"/>
          <w:szCs w:val="24"/>
        </w:rPr>
        <w:t>Matthew B. Fuller</w:t>
      </w:r>
      <w:r>
        <w:t>, Ph.D., is Assistant Professor of Higher Education Administration in the Department of Educational Leadership at Sam Houston State University.  He currently teaches in doctoral and Master’s level courses in higher education administration.  He also serves as Assistant Dean of Assessment in the College of Education at Sam Houston State University and as the Principal Investigator on the Survey of Assessment Culture, an annual, nation-wide survey of higher education leaders’ perspectives on cultures of assessment.</w:t>
      </w:r>
    </w:p>
    <w:p w:rsidR="00DA6701" w:rsidRPr="00DA6701" w:rsidRDefault="009557B1" w:rsidP="00DA6701">
      <w:pPr>
        <w:rPr>
          <w:rStyle w:val="clickable"/>
          <w:rFonts w:ascii="Garamond" w:hAnsi="Garamond"/>
          <w:color w:val="0000FF"/>
          <w:u w:val="single"/>
        </w:rPr>
      </w:pPr>
      <w:hyperlink r:id="rId20" w:tgtFrame="_blank" w:history="1">
        <w:r w:rsidR="00DA6701" w:rsidRPr="00DA6701">
          <w:rPr>
            <w:rStyle w:val="clickable"/>
            <w:rFonts w:ascii="Garamond" w:hAnsi="Garamond"/>
            <w:color w:val="0000FF"/>
            <w:u w:val="single"/>
          </w:rPr>
          <w:t>mfuller@shsu.edu</w:t>
        </w:r>
      </w:hyperlink>
    </w:p>
    <w:p w:rsidR="00C44B56" w:rsidRDefault="00C44B56" w:rsidP="00C44B56"/>
    <w:p w:rsidR="00C44B56" w:rsidRDefault="00C44B56" w:rsidP="00C44B56">
      <w:pPr>
        <w:rPr>
          <w:color w:val="1F497D"/>
        </w:rPr>
      </w:pPr>
      <w:r w:rsidRPr="001450F1">
        <w:rPr>
          <w:rFonts w:ascii="Arial" w:hAnsi="Arial" w:cs="Arial"/>
          <w:b/>
          <w:sz w:val="24"/>
          <w:szCs w:val="24"/>
        </w:rPr>
        <w:t>Dr. Peggy Holzweiss</w:t>
      </w:r>
      <w:r>
        <w:t xml:space="preserve"> is an Assistant Professor at Sam Houston State University in Huntsville, Texas.  She holds a doctorate in Higher Education Administration from Texas A&amp;M University and worked in college administration for 18 years prior to joining the faculty.  </w:t>
      </w:r>
    </w:p>
    <w:p w:rsidR="008C589D" w:rsidRDefault="008C589D" w:rsidP="00C44B56"/>
    <w:p w:rsidR="00A63160" w:rsidRDefault="00C44B56" w:rsidP="00C44B56">
      <w:r w:rsidRPr="008C589D">
        <w:rPr>
          <w:rFonts w:ascii="Arial" w:hAnsi="Arial" w:cs="Arial"/>
          <w:b/>
          <w:sz w:val="24"/>
          <w:szCs w:val="24"/>
        </w:rPr>
        <w:t>Dr. Sheila A. Joyner</w:t>
      </w:r>
      <w:r>
        <w:t xml:space="preserve"> is an Assistant Professor of Educational Leadership at Sam Houston State University.  A former community college faculty member, academic dean and provost, Dr. Joyner’s research interests include online teaching and learning, faculty diversity and academic program evaluation.  She has a variety of publications on faculty ethnicity, college student readiness, and Advanced Placement and dual enrollment student success.  Dr. Joyner has also been a consultant for accreditation site visit preparation, grant writing, and academic assessment.</w:t>
      </w:r>
    </w:p>
    <w:p w:rsidR="004B726D" w:rsidRDefault="004B726D" w:rsidP="00A63160"/>
    <w:p w:rsidR="004B726D" w:rsidRDefault="004B726D" w:rsidP="00A63160"/>
    <w:p w:rsidR="004B726D" w:rsidRDefault="004B726D" w:rsidP="00A63160"/>
    <w:p w:rsidR="004B726D" w:rsidRDefault="004B726D" w:rsidP="00A63160"/>
    <w:p w:rsidR="004B726D" w:rsidRDefault="004B726D" w:rsidP="00A63160"/>
    <w:p w:rsidR="004B726D" w:rsidRDefault="004B726D" w:rsidP="00A63160"/>
    <w:p w:rsidR="004B726D" w:rsidRDefault="004B726D" w:rsidP="00A63160"/>
    <w:p w:rsidR="004B726D" w:rsidRDefault="004B726D" w:rsidP="00A63160"/>
    <w:p w:rsidR="00A63160" w:rsidRDefault="009557B1" w:rsidP="00A63160">
      <w:hyperlink w:anchor="TOC" w:history="1">
        <w:r w:rsidR="004B726D" w:rsidRPr="000C7B67">
          <w:rPr>
            <w:rStyle w:val="Hyperlink"/>
            <w:rFonts w:ascii="Arial" w:hAnsi="Arial" w:cs="Arial"/>
            <w:sz w:val="16"/>
            <w:szCs w:val="16"/>
          </w:rPr>
          <w:t>Return to Table of Contents</w:t>
        </w:r>
      </w:hyperlink>
      <w:r w:rsidR="00A63160">
        <w:br w:type="page"/>
      </w:r>
    </w:p>
    <w:p w:rsidR="00A63160" w:rsidRDefault="00A63160" w:rsidP="00A63160">
      <w:pPr>
        <w:pStyle w:val="Note"/>
      </w:pPr>
      <w:r w:rsidRPr="004632D6">
        <w:rPr>
          <w:b/>
        </w:rPr>
        <w:lastRenderedPageBreak/>
        <w:t>Editor’s Note</w:t>
      </w:r>
      <w:r>
        <w:t>:</w:t>
      </w:r>
      <w:r w:rsidR="008317AF">
        <w:t xml:space="preserve"> Feedback is a primary method of informing learners about errors</w:t>
      </w:r>
      <w:r w:rsidR="00FD1AA4">
        <w:t xml:space="preserve">, and for this reason it is also an essential step in error correction. There are many kinds of corrective feedback ranging from explicit to implicit, delivered live and through media, in contexts where feedback may be immediate or delayed. This paper is a very detailed analysis of the various kinds of feedback and their effectiveness based on extensive research of the literature in language learning. </w:t>
      </w:r>
    </w:p>
    <w:p w:rsidR="00A63160" w:rsidRDefault="00A63160" w:rsidP="00A63160">
      <w:pPr>
        <w:pStyle w:val="Note"/>
      </w:pPr>
    </w:p>
    <w:p w:rsidR="00A63160" w:rsidRPr="004632D6" w:rsidRDefault="00A63160" w:rsidP="00A63160">
      <w:pPr>
        <w:pStyle w:val="Heading1"/>
        <w:rPr>
          <w:sz w:val="28"/>
          <w:szCs w:val="28"/>
        </w:rPr>
      </w:pPr>
      <w:bookmarkStart w:id="35" w:name="_Pedagogical_contributions_and"/>
      <w:bookmarkEnd w:id="35"/>
      <w:r w:rsidRPr="004632D6">
        <w:rPr>
          <w:sz w:val="28"/>
          <w:szCs w:val="28"/>
        </w:rPr>
        <w:t xml:space="preserve">Pedagogical </w:t>
      </w:r>
      <w:r w:rsidR="004632D6" w:rsidRPr="004632D6">
        <w:rPr>
          <w:sz w:val="28"/>
          <w:szCs w:val="28"/>
        </w:rPr>
        <w:t xml:space="preserve">contributions and empirical perspectives </w:t>
      </w:r>
      <w:r w:rsidR="004632D6">
        <w:rPr>
          <w:sz w:val="28"/>
          <w:szCs w:val="28"/>
        </w:rPr>
        <w:br/>
      </w:r>
      <w:r w:rsidR="004632D6" w:rsidRPr="004632D6">
        <w:rPr>
          <w:sz w:val="28"/>
          <w:szCs w:val="28"/>
        </w:rPr>
        <w:t xml:space="preserve">of corrective feedback in written, oral, and </w:t>
      </w:r>
      <w:r w:rsidR="004632D6">
        <w:rPr>
          <w:sz w:val="28"/>
          <w:szCs w:val="28"/>
        </w:rPr>
        <w:br/>
      </w:r>
      <w:r w:rsidR="004632D6" w:rsidRPr="004632D6">
        <w:rPr>
          <w:sz w:val="28"/>
          <w:szCs w:val="28"/>
        </w:rPr>
        <w:t>computer-mediated communication</w:t>
      </w:r>
    </w:p>
    <w:p w:rsidR="00A63160" w:rsidRPr="004632D6" w:rsidRDefault="00A63160" w:rsidP="00A63160">
      <w:pPr>
        <w:pStyle w:val="Heading5"/>
        <w:rPr>
          <w:sz w:val="22"/>
          <w:szCs w:val="22"/>
        </w:rPr>
      </w:pPr>
      <w:r w:rsidRPr="004632D6">
        <w:rPr>
          <w:sz w:val="22"/>
          <w:szCs w:val="22"/>
        </w:rPr>
        <w:t>Seyed Behrooz Hosseini</w:t>
      </w:r>
    </w:p>
    <w:p w:rsidR="00A63160" w:rsidRPr="000A4084" w:rsidRDefault="000A4084" w:rsidP="00A63160">
      <w:pPr>
        <w:pStyle w:val="Heading5"/>
        <w:rPr>
          <w:sz w:val="18"/>
          <w:szCs w:val="18"/>
        </w:rPr>
      </w:pPr>
      <w:r w:rsidRPr="000A4084">
        <w:rPr>
          <w:sz w:val="18"/>
          <w:szCs w:val="18"/>
        </w:rPr>
        <w:t>Iran</w:t>
      </w:r>
    </w:p>
    <w:p w:rsidR="00A63160" w:rsidRPr="006A3D72" w:rsidRDefault="00A63160" w:rsidP="00A63160">
      <w:pPr>
        <w:pStyle w:val="Heading3"/>
      </w:pPr>
      <w:r w:rsidRPr="006A3D72">
        <w:t>Abstract</w:t>
      </w:r>
    </w:p>
    <w:p w:rsidR="00A63160" w:rsidRPr="006A3D72" w:rsidRDefault="00A63160" w:rsidP="00A63160">
      <w:r w:rsidRPr="006A3D72">
        <w:t xml:space="preserve">Over the </w:t>
      </w:r>
      <w:r>
        <w:t>past</w:t>
      </w:r>
      <w:r w:rsidRPr="006A3D72">
        <w:t xml:space="preserve"> few decades, the role of corrective feedback in language learning and teaching has attracted the attention of a host of researchers and language educators and controversial issues regarding </w:t>
      </w:r>
      <w:r>
        <w:t>its</w:t>
      </w:r>
      <w:r w:rsidRPr="006A3D72">
        <w:t xml:space="preserve"> effectiveness have been offered. </w:t>
      </w:r>
      <w:r>
        <w:t>M</w:t>
      </w:r>
      <w:r w:rsidRPr="006A3D72">
        <w:t>ost recent studies have substantiated the efficacy of feedback in enhancing learners’ abilities in language production in and out of classroom. T</w:t>
      </w:r>
      <w:r w:rsidR="004632D6">
        <w:t>he</w:t>
      </w:r>
      <w:r w:rsidRPr="006A3D72">
        <w:t xml:space="preserve"> purpose of this study is to give an account of corrective feedback and its contributions to language learning and teaching. This study also seeks to present a detailed discussion of different types of corrective feedback, previous research in the field, the role of oral corrective feedback, and findings on the role of computer-mediated communication technologies such as the Internet, e-mail, and chat in providing effective feedback to language learners. Furthermore, in this study, the significance of further research on feedback is emphasized and interested researchers are encouraged to delve deeper into and investigate innumerable learning possibilities this field has to offer in a variety of contexts.</w:t>
      </w:r>
    </w:p>
    <w:p w:rsidR="00A63160" w:rsidRPr="00A63160" w:rsidRDefault="00A63160" w:rsidP="00A63160">
      <w:pPr>
        <w:rPr>
          <w:sz w:val="20"/>
        </w:rPr>
      </w:pPr>
      <w:r w:rsidRPr="004632D6">
        <w:rPr>
          <w:b/>
          <w:sz w:val="20"/>
        </w:rPr>
        <w:t>Keywords</w:t>
      </w:r>
      <w:r w:rsidRPr="00A63160">
        <w:rPr>
          <w:sz w:val="20"/>
        </w:rPr>
        <w:t xml:space="preserve">: corrective feedback, accuracy, </w:t>
      </w:r>
      <w:r w:rsidR="004632D6">
        <w:rPr>
          <w:sz w:val="20"/>
        </w:rPr>
        <w:t>i</w:t>
      </w:r>
      <w:r w:rsidRPr="00A63160">
        <w:rPr>
          <w:sz w:val="20"/>
        </w:rPr>
        <w:t xml:space="preserve">nterlanguage, </w:t>
      </w:r>
      <w:r w:rsidR="004632D6">
        <w:rPr>
          <w:sz w:val="20"/>
        </w:rPr>
        <w:t>n</w:t>
      </w:r>
      <w:r w:rsidRPr="00A63160">
        <w:rPr>
          <w:sz w:val="20"/>
        </w:rPr>
        <w:t xml:space="preserve">oticing hypothesis, </w:t>
      </w:r>
      <w:r w:rsidR="004632D6">
        <w:rPr>
          <w:sz w:val="20"/>
        </w:rPr>
        <w:t>computer mediated communication (</w:t>
      </w:r>
      <w:r w:rsidRPr="00A63160">
        <w:rPr>
          <w:sz w:val="20"/>
        </w:rPr>
        <w:t>CMC</w:t>
      </w:r>
      <w:r w:rsidR="004632D6">
        <w:rPr>
          <w:sz w:val="20"/>
        </w:rPr>
        <w:t>).</w:t>
      </w:r>
      <w:r w:rsidRPr="00A63160">
        <w:rPr>
          <w:sz w:val="20"/>
        </w:rPr>
        <w:t xml:space="preserve">  </w:t>
      </w:r>
    </w:p>
    <w:p w:rsidR="00A63160" w:rsidRPr="00505395" w:rsidRDefault="00A63160" w:rsidP="00A63160">
      <w:pPr>
        <w:pStyle w:val="Heading3"/>
      </w:pPr>
      <w:r w:rsidRPr="00505395">
        <w:t>Introduction</w:t>
      </w:r>
    </w:p>
    <w:p w:rsidR="00A63160" w:rsidRDefault="00A63160" w:rsidP="00A63160">
      <w:pPr>
        <w:rPr>
          <w:lang w:bidi="fa-IR"/>
        </w:rPr>
      </w:pPr>
      <w:r w:rsidRPr="00CF640F">
        <w:t xml:space="preserve">Corrective feedback (CF) has been of great interest to both second language (SL) and foreign language (FL) researchers likewise. </w:t>
      </w:r>
      <w:r>
        <w:t xml:space="preserve">A </w:t>
      </w:r>
      <w:r w:rsidRPr="00CF640F">
        <w:t xml:space="preserve">growing body of research has investigated the potential efficacy of written CF (WCF) and its roles in language learners’ development in different ways. History </w:t>
      </w:r>
      <w:r>
        <w:t>on</w:t>
      </w:r>
      <w:r w:rsidRPr="00CF640F">
        <w:t xml:space="preserve"> the effectiveness of WCF has been controversial regarding whether error correction is beneficial to the learning process or not. On the one hand, CF has proved to be effective in promoting language learning (Sheen, 2007; Lee, 1997)</w:t>
      </w:r>
      <w:r>
        <w:t>;</w:t>
      </w:r>
      <w:r w:rsidRPr="00CF640F">
        <w:t xml:space="preserve"> yet on the other hand, as Truscott (1996) claimed, it could be obstructive or even detrimental. In an extreme view on CF, Truscott (1996) argued that the application of CF on the learners’ writing should be totally avoided as it hinders and harms writing development. According to Truscott (1996), “grammar correction has no place in writing courses and should be abandoned” (p. 328).   On the contrary, more recent studies support the positive contributions of CF to language learning and in particular writing skills </w:t>
      </w:r>
      <w:r w:rsidR="004632D6">
        <w:br/>
      </w:r>
      <w:r w:rsidRPr="00CF640F">
        <w:t>(e.g., Bitchener &amp; Knoch, 2008; Sheen, 2007). Gass (1997) also states that CF enables learners to notice the “gap” between their interlanguage and the target language resulting in more focused and accurate learning. Additionally, in accordance with general research on language learning, CF studies have specifically focused on the ways CF can alter and promote “learning processes” and “linguistic competence” (Sheen, 2010b, p. 204). This, in turn, enables learners to concentrate their attention on syntactical structures of their language products resulting in better learning of linguistic</w:t>
      </w:r>
      <w:r w:rsidRPr="00CF640F">
        <w:rPr>
          <w:rtl/>
        </w:rPr>
        <w:t xml:space="preserve"> </w:t>
      </w:r>
      <w:r w:rsidRPr="00CF640F">
        <w:t>forms. Soori and Abd</w:t>
      </w:r>
      <w:r w:rsidR="00ED1B4D">
        <w:t xml:space="preserve">. </w:t>
      </w:r>
      <w:r w:rsidRPr="00CF640F">
        <w:t xml:space="preserve">Samad (2011) also cite Yates and Kenkel (2002) and mention that the main concern nowadays is not to whether provide CF for the learners but rather “when and how to provide feedback on the students’ errors” (p. 349). As cited in Rezaei, Mozaffari, and </w:t>
      </w:r>
      <w:r w:rsidRPr="00CF640F">
        <w:lastRenderedPageBreak/>
        <w:t xml:space="preserve">Hatef (2011), Schmidt’s (1990, 1995, 2001) Noticing </w:t>
      </w:r>
      <w:r>
        <w:t>h</w:t>
      </w:r>
      <w:r w:rsidRPr="00CF640F">
        <w:t xml:space="preserve">ypothesis suggests that “noticing is a prerequisite of learning, continuing that conscious attention must be paid to input in order for L2 learning to proceed.” (p. 22). Thus, CF provides learners with clues indicating what is wrong and draws their attention to erroneous forms resulting in better learning. </w:t>
      </w:r>
    </w:p>
    <w:p w:rsidR="00A63160" w:rsidRPr="000727C8" w:rsidRDefault="00A63160" w:rsidP="00A63160">
      <w:r w:rsidRPr="00CF640F">
        <w:t>Grammar accuracy and writing improvement have also been shown to benefit from CF. Application of CF on learners’ writing will help them avoid the possibility of future errors and promote accuracy of their writing with more focus on meaning (Ashwell, 2000). According to Ferris (2010), “the studies on written CF … examine whether written CF facilitates long-term acquisition of particular linguistic features and if so, how” (p. 188). Soori and Abd. Samad (2011) also refer to Russell and Spada (2006) and state that they “investigated the impacts of corrective feedback on second language grammar learning. The outcome of this study revealed that corrective feedback was helpful for L2 learning.” (p. 350).</w:t>
      </w:r>
    </w:p>
    <w:p w:rsidR="00A63160" w:rsidRPr="000727C8" w:rsidRDefault="00A63160" w:rsidP="00A63160">
      <w:r w:rsidRPr="000727C8">
        <w:t xml:space="preserve">Erel and Bulut (2007) refer to various studies (e.g., Ferris &amp; Roberts, 2001) for “motivating” and “encouraging” effects of WCF on learners and state that, “it is believed </w:t>
      </w:r>
      <w:r w:rsidRPr="000727C8">
        <w:rPr>
          <w:rtl/>
        </w:rPr>
        <w:t>...</w:t>
      </w:r>
      <w:r w:rsidRPr="000727C8">
        <w:t xml:space="preserve"> that if a teacher indicates a written grammatical error on a student’s paper and provides the correct form in one or another way, the student will realize the error and will not repeat it in his/her future writings”. Consequently, “the ability of writing accurately will be improved” (p. 398). Additionally, Ferris and Roberts’s (2001) experiment with different types of WCF substantiate the efficacy of CF on improving learners’ writing accuracy</w:t>
      </w:r>
      <w:r>
        <w:t xml:space="preserve">. </w:t>
      </w:r>
    </w:p>
    <w:p w:rsidR="00A63160" w:rsidRPr="000727C8" w:rsidRDefault="00A63160" w:rsidP="00A63160">
      <w:pPr>
        <w:rPr>
          <w:rtl/>
        </w:rPr>
      </w:pPr>
      <w:r w:rsidRPr="000727C8">
        <w:t>As stated by Erel and Bulut (2007), numerous studies show the effectiveness of CF in promoting writing skills as well as gram</w:t>
      </w:r>
      <w:r>
        <w:t>matical accuracy of the learners:</w:t>
      </w:r>
      <w:r w:rsidRPr="000727C8">
        <w:rPr>
          <w:rtl/>
        </w:rPr>
        <w:t xml:space="preserve"> </w:t>
      </w:r>
    </w:p>
    <w:p w:rsidR="00A63160" w:rsidRPr="000727C8" w:rsidRDefault="00A63160" w:rsidP="001F7E2A">
      <w:pPr>
        <w:ind w:left="360" w:right="360"/>
      </w:pPr>
      <w:r w:rsidRPr="000727C8">
        <w:t>Ashwell (2000) states that teachers believe that correcting the grammar of</w:t>
      </w:r>
      <w:r w:rsidRPr="000727C8">
        <w:rPr>
          <w:rtl/>
          <w:lang w:bidi="fa-IR"/>
        </w:rPr>
        <w:t xml:space="preserve"> </w:t>
      </w:r>
      <w:r w:rsidRPr="000727C8">
        <w:t>student</w:t>
      </w:r>
      <w:r>
        <w:rPr>
          <w:rFonts w:hint="cs"/>
          <w:rtl/>
        </w:rPr>
        <w:t xml:space="preserve"> </w:t>
      </w:r>
      <w:r w:rsidRPr="000727C8">
        <w:t>writers’ work will help</w:t>
      </w:r>
      <w:r w:rsidRPr="000727C8">
        <w:rPr>
          <w:rtl/>
        </w:rPr>
        <w:t xml:space="preserve"> </w:t>
      </w:r>
      <w:r w:rsidRPr="000727C8">
        <w:t>them improve the accuracy of subsequent writing.</w:t>
      </w:r>
      <w:r>
        <w:rPr>
          <w:rFonts w:hint="cs"/>
          <w:rtl/>
          <w:lang w:bidi="fa-IR"/>
        </w:rPr>
        <w:t xml:space="preserve"> </w:t>
      </w:r>
      <w:r w:rsidRPr="000727C8">
        <w:t>Research evidence on error correction in L2 writing</w:t>
      </w:r>
      <w:r w:rsidRPr="000727C8">
        <w:rPr>
          <w:rtl/>
        </w:rPr>
        <w:t xml:space="preserve"> </w:t>
      </w:r>
      <w:r w:rsidRPr="000727C8">
        <w:t>classes shows that</w:t>
      </w:r>
      <w:r>
        <w:rPr>
          <w:rFonts w:hint="cs"/>
          <w:rtl/>
        </w:rPr>
        <w:t xml:space="preserve"> </w:t>
      </w:r>
      <w:r w:rsidRPr="000727C8">
        <w:t>students</w:t>
      </w:r>
      <w:r w:rsidRPr="000727C8">
        <w:rPr>
          <w:rtl/>
        </w:rPr>
        <w:t xml:space="preserve"> </w:t>
      </w:r>
      <w:r w:rsidRPr="000727C8">
        <w:t>who receive error feedback from teachers improve in accuracy over time</w:t>
      </w:r>
      <w:r w:rsidRPr="000727C8">
        <w:rPr>
          <w:rtl/>
        </w:rPr>
        <w:t xml:space="preserve"> </w:t>
      </w:r>
      <w:r w:rsidRPr="000727C8">
        <w:t>(Ferris &amp;</w:t>
      </w:r>
      <w:r w:rsidRPr="000727C8">
        <w:rPr>
          <w:rtl/>
          <w:lang w:bidi="fa-IR"/>
        </w:rPr>
        <w:t xml:space="preserve"> </w:t>
      </w:r>
      <w:r w:rsidRPr="000727C8">
        <w:t>Roberts, 2001). There is also research evidence which proves that students want</w:t>
      </w:r>
      <w:r>
        <w:rPr>
          <w:rFonts w:hint="cs"/>
          <w:rtl/>
          <w:lang w:bidi="fa-IR"/>
        </w:rPr>
        <w:t xml:space="preserve"> </w:t>
      </w:r>
      <w:r w:rsidRPr="000727C8">
        <w:t>error feedback</w:t>
      </w:r>
      <w:r w:rsidRPr="000727C8">
        <w:rPr>
          <w:rtl/>
        </w:rPr>
        <w:t xml:space="preserve"> </w:t>
      </w:r>
      <w:r w:rsidRPr="000727C8">
        <w:t>and think that it helps them improve their writing skill in the</w:t>
      </w:r>
      <w:r>
        <w:rPr>
          <w:rFonts w:hint="cs"/>
          <w:rtl/>
        </w:rPr>
        <w:t xml:space="preserve"> </w:t>
      </w:r>
      <w:r w:rsidRPr="000727C8">
        <w:t>target</w:t>
      </w:r>
      <w:r>
        <w:rPr>
          <w:rtl/>
        </w:rPr>
        <w:t xml:space="preserve"> </w:t>
      </w:r>
      <w:r w:rsidRPr="000727C8">
        <w:t>language</w:t>
      </w:r>
      <w:r w:rsidR="001F7E2A">
        <w:t>.</w:t>
      </w:r>
      <w:r w:rsidRPr="000727C8">
        <w:t xml:space="preserve"> </w:t>
      </w:r>
      <w:r w:rsidR="001F7E2A">
        <w:br/>
      </w:r>
      <w:r w:rsidRPr="000727C8">
        <w:t>(Leki, 1991; Ferris &amp; Roberts, 2001; Chandler, 2003). (p.</w:t>
      </w:r>
      <w:r>
        <w:rPr>
          <w:rFonts w:hint="cs"/>
          <w:rtl/>
        </w:rPr>
        <w:t xml:space="preserve"> </w:t>
      </w:r>
      <w:r w:rsidRPr="000727C8">
        <w:t>398)</w:t>
      </w:r>
      <w:r w:rsidRPr="000727C8">
        <w:rPr>
          <w:rtl/>
        </w:rPr>
        <w:t xml:space="preserve"> </w:t>
      </w:r>
    </w:p>
    <w:p w:rsidR="00A63160" w:rsidRPr="000727C8" w:rsidRDefault="00A63160" w:rsidP="00A63160">
      <w:pPr>
        <w:rPr>
          <w:rtl/>
        </w:rPr>
      </w:pPr>
      <w:r w:rsidRPr="000727C8">
        <w:t xml:space="preserve">Similarly, Leki (1991) and Zhang (1995) in their studies found out that the learners themselves greatly appreciate teacher-provided CF. This clearly shows that “L2 students have positive attitudes towards written feedback” (Kaweera &amp; Usaha, 2008, p. 86). Finally, it should be mentioned that, Ferris (1997) also found that CF provided by teachers led to the development of learners’ writing skills. </w:t>
      </w:r>
    </w:p>
    <w:p w:rsidR="00A63160" w:rsidRPr="000727C8" w:rsidRDefault="00A63160" w:rsidP="00A63160">
      <w:pPr>
        <w:rPr>
          <w:rtl/>
        </w:rPr>
      </w:pPr>
      <w:r w:rsidRPr="000727C8">
        <w:t>It is also worth mentioning that, “</w:t>
      </w:r>
      <w:r w:rsidRPr="000727C8">
        <w:rPr>
          <w:rFonts w:eastAsia="UPCELight"/>
          <w:color w:val="231F20"/>
        </w:rPr>
        <w:t>many scholars and researchers agree that feedback is essential and has a positive effect on students’ writing. Thus, feedback on writing can be selected as a means of helping students to make revision and can help students improve their writing skills</w:t>
      </w:r>
      <w:r w:rsidRPr="000727C8">
        <w:t xml:space="preserve">” (Kaweera &amp; Usaha, 2008, p. 85). </w:t>
      </w:r>
      <w:r w:rsidRPr="000727C8">
        <w:rPr>
          <w:rtl/>
          <w:lang w:bidi="fa-IR"/>
        </w:rPr>
        <w:t xml:space="preserve"> </w:t>
      </w:r>
    </w:p>
    <w:p w:rsidR="00A63160" w:rsidRDefault="00A63160" w:rsidP="00A63160">
      <w:pPr>
        <w:rPr>
          <w:rtl/>
          <w:lang w:bidi="fa-IR"/>
        </w:rPr>
      </w:pPr>
      <w:r w:rsidRPr="000727C8">
        <w:t>Due to the aforementioned findings and studies, it becomes apparent that despite earlier controversy over the effectiveness of CF provided by teachers on learners’ writing, it is obvious that CF plays a crucial role in promoting learning processes and eliminates learners’ structural problems regarding what they produce</w:t>
      </w:r>
      <w:r w:rsidR="001F7E2A">
        <w:t>,</w:t>
      </w:r>
      <w:r w:rsidRPr="000727C8">
        <w:t xml:space="preserve"> especially in written form. Teachers should also be aware of learners’ needs which are the basis for appropriate feedback teachers intend to provide as there are different types of feedback ranging from explicit to implicit. This is because learners vary in their knowledge and level of proficiency and therefore, “can benefit from different ways of providing corrective focus on form” (Guenette, 2007, p. 47).</w:t>
      </w:r>
      <w:r w:rsidRPr="000727C8">
        <w:rPr>
          <w:rtl/>
          <w:lang w:bidi="fa-IR"/>
        </w:rPr>
        <w:t xml:space="preserve"> </w:t>
      </w:r>
    </w:p>
    <w:p w:rsidR="00A63160" w:rsidRPr="000727C8" w:rsidRDefault="001F7E2A" w:rsidP="00A63160">
      <w:r>
        <w:lastRenderedPageBreak/>
        <w:t>The f</w:t>
      </w:r>
      <w:r w:rsidR="00A63160" w:rsidRPr="000727C8">
        <w:t xml:space="preserve">ollowing sections review previous studies on different types of CF in traditional way, i.e., in the classroom, and through technology, i.e., computer-mediated contexts. Different perspectives on CF are also discussed. </w:t>
      </w:r>
    </w:p>
    <w:p w:rsidR="00A63160" w:rsidRPr="00666FBB" w:rsidRDefault="00A63160" w:rsidP="00A63160">
      <w:pPr>
        <w:pStyle w:val="Heading3"/>
      </w:pPr>
      <w:r w:rsidRPr="00666FBB">
        <w:t xml:space="preserve">Brief review on different types of CF  </w:t>
      </w:r>
    </w:p>
    <w:p w:rsidR="00A63160" w:rsidRPr="008779CF" w:rsidRDefault="00A63160" w:rsidP="00A63160">
      <w:r w:rsidRPr="008779CF">
        <w:t>According to Lyster and Ranta (1997), different types of CF have been identified including explicit, metalinguistic, elicitation, repetition, recast, translation, and clarification requests (see Appendix A for brief definitions and examples of CF strategies proposed by Lyster and Ranta, 1997 as cited in Sauro, 2009, p. 99). According to Rezaei et al. (2011), “all of these techniques are placed in an explicit-implicit continuum.” (p. 22).</w:t>
      </w:r>
      <w:r>
        <w:t xml:space="preserve"> </w:t>
      </w:r>
      <w:r w:rsidRPr="008779CF">
        <w:t xml:space="preserve">What follows is a brief review of each technique. </w:t>
      </w:r>
    </w:p>
    <w:p w:rsidR="00A63160" w:rsidRDefault="00A63160" w:rsidP="00A63160">
      <w:pPr>
        <w:pStyle w:val="Heading4"/>
      </w:pPr>
      <w:r w:rsidRPr="008779CF">
        <w:t>Explicit</w:t>
      </w:r>
      <w:r w:rsidRPr="008779CF">
        <w:rPr>
          <w:rtl/>
          <w:lang w:bidi="fa-IR"/>
        </w:rPr>
        <w:t xml:space="preserve">  </w:t>
      </w:r>
    </w:p>
    <w:p w:rsidR="00A63160" w:rsidRPr="008779CF" w:rsidRDefault="00A63160" w:rsidP="00A63160">
      <w:r w:rsidRPr="008779CF">
        <w:t xml:space="preserve">Rezaei et al. define explicit feedback and mention that “as the name suggests, explicit feedback falls at the explicit end of corrective feedback spectrum” (p. 23). Rezaei et al. cite Ellis, Loewen, and Erlam (2006) and mention that this type of feedback “is characterized by an overt and clear indication of the existence of an error and the provision of the target-like reformulation and can take two forms, i.e. explicit correction and metalinguistic feedback” (p. 23). In explicit CF, teacher clearly draws learner’s attention to the erroneous part(s) and provides correct structures directly. Regarding metalinguistic CF, the teacher only provides learners with “comments, information, or questions related to the well-formedness’ of their utterances” (Lyster &amp; Ranta, 1997, p. 47). Rezaei et al. also argue that, explicit CF aids “learners in noticing the gap between their interlanguage and the target like form” resulting in better understanding of target language (p. 23).  </w:t>
      </w:r>
    </w:p>
    <w:p w:rsidR="00A63160" w:rsidRDefault="00A63160" w:rsidP="00A63160">
      <w:pPr>
        <w:pStyle w:val="Heading4"/>
      </w:pPr>
      <w:r w:rsidRPr="008779CF">
        <w:t xml:space="preserve">Metalinguistic </w:t>
      </w:r>
      <w:r>
        <w:t xml:space="preserve"> </w:t>
      </w:r>
    </w:p>
    <w:p w:rsidR="00A63160" w:rsidRDefault="00A63160" w:rsidP="00A63160">
      <w:pPr>
        <w:rPr>
          <w:b/>
          <w:bCs/>
        </w:rPr>
      </w:pPr>
      <w:r w:rsidRPr="008779CF">
        <w:t>As characterized by Rezaei et al., “much like explicit error correction, metalinguistic feedback- because it diverts the focus of conversation towards rules or features of the target language- falls at the explicit end of the corrective feedback spectrum.” (p. 23). According to Lyster and Ranta (1997) metalinguistic feedback has been defined as “comments, information, or questions related to the well-formedness of the student’s utterance without explicitly providing the correct form” (p. 47). Rezaei et al. mention that “unlike its name, the inclusion of metalanguage is not its deterministic characteristics; rather the encoding of evaluations or commentary regarding the non-target-like nature of the learner's utterance is considered as the defining feature.” (p. 23</w:t>
      </w:r>
      <w:r>
        <w:t>).</w:t>
      </w:r>
    </w:p>
    <w:p w:rsidR="00A63160" w:rsidRDefault="00A63160" w:rsidP="00A63160">
      <w:pPr>
        <w:pStyle w:val="Heading4"/>
      </w:pPr>
      <w:r w:rsidRPr="00E02CA1">
        <w:t xml:space="preserve">Elicitation </w:t>
      </w:r>
    </w:p>
    <w:p w:rsidR="00A63160" w:rsidRPr="008779CF" w:rsidRDefault="00A63160" w:rsidP="00A63160">
      <w:r w:rsidRPr="008779CF">
        <w:t xml:space="preserve">In this type of CF, self-correction is emphasized (Panova &amp; Lyster, 2002). Regarding this type of CF, Rezaei et al. propose three different ways during face-to-face (FtF) interaction varying in their level of explicitness or implicitness. The first strategy “is request for reformulations of an ill-formed utterance. The second one is through the use of open questions. The last strategy which is … the most implicit is the use of strategic pauses to allow a learner to complete an utterance.” (p. 24). Due to these stages, “elicitation falls in the middle of explicit and implicit continuum of corrective feedback.” (p. 24). </w:t>
      </w:r>
    </w:p>
    <w:p w:rsidR="00A63160" w:rsidRDefault="00A63160" w:rsidP="00A63160">
      <w:pPr>
        <w:pStyle w:val="Heading4"/>
      </w:pPr>
      <w:r w:rsidRPr="00F34C1B">
        <w:t xml:space="preserve">Repetition </w:t>
      </w:r>
    </w:p>
    <w:p w:rsidR="00A63160" w:rsidRPr="008779CF" w:rsidRDefault="00A63160" w:rsidP="00A63160">
      <w:r w:rsidRPr="008779CF">
        <w:t xml:space="preserve">This type of CF, according to Rezaei et al., “is less communicatively intrusive in comparison to explicit error correction or metalinguistic feedback and hence falls at the implicit extreme on the continuum of corrective feedback.” (p. 24). Panova and Lyster (2002) define repetition CF as “the teachers’ or interlocutors’ repetition of the ill-formed part of the student’s utterance, usually with a change in intonation” (p. 584).  </w:t>
      </w:r>
    </w:p>
    <w:p w:rsidR="00A63160" w:rsidRDefault="00A63160" w:rsidP="00A63160">
      <w:pPr>
        <w:pStyle w:val="Heading4"/>
      </w:pPr>
      <w:r w:rsidRPr="00F34C1B">
        <w:lastRenderedPageBreak/>
        <w:t xml:space="preserve">Recast </w:t>
      </w:r>
    </w:p>
    <w:p w:rsidR="00A63160" w:rsidRDefault="00A63160" w:rsidP="00A63160">
      <w:pPr>
        <w:rPr>
          <w:rtl/>
          <w:lang w:bidi="fa-IR"/>
        </w:rPr>
      </w:pPr>
      <w:r w:rsidRPr="008779CF">
        <w:t>According to Rezaei et al., numerous studies (e.g., Nelson, Carskaddon, &amp; Bonvillian, 1973; Nicholas, Lightbown, &amp; Spada, 2001) indicate that “The term recast was initially used in the literature of L1 acquisition to refer to responses by adults to children’s utterances …; afterward it merged into the domain of L2 acquisition in which different definitions were utilized for this term.” (p. 22). As stated by Rezaei et al., different types of recast are identified as:</w:t>
      </w:r>
      <w:r>
        <w:rPr>
          <w:lang w:bidi="fa-IR"/>
        </w:rPr>
        <w:t xml:space="preserve"> </w:t>
      </w:r>
    </w:p>
    <w:p w:rsidR="00A63160" w:rsidRPr="00666FBB" w:rsidRDefault="00A63160" w:rsidP="00A63160">
      <w:pPr>
        <w:rPr>
          <w:b/>
          <w:bCs/>
          <w:rtl/>
        </w:rPr>
      </w:pPr>
      <w:r w:rsidRPr="008779CF">
        <w:t>According to Ellis and Sheen (2006, pp. 78-80), recasts are of various types including</w:t>
      </w:r>
      <w:r>
        <w:rPr>
          <w:rFonts w:hint="cs"/>
          <w:rtl/>
          <w:lang w:bidi="fa-IR"/>
        </w:rPr>
        <w:t xml:space="preserve"> </w:t>
      </w:r>
      <w:r>
        <w:t>corrective recasts</w:t>
      </w:r>
      <w:r w:rsidRPr="008779CF">
        <w:rPr>
          <w:rtl/>
        </w:rPr>
        <w:t xml:space="preserve"> </w:t>
      </w:r>
      <w:r w:rsidRPr="008779CF">
        <w:t>(Doughty &amp; Varela, 1998)</w:t>
      </w:r>
      <w:r w:rsidRPr="008779CF">
        <w:rPr>
          <w:b/>
          <w:bCs/>
        </w:rPr>
        <w:t xml:space="preserve">, </w:t>
      </w:r>
      <w:r w:rsidRPr="008779CF">
        <w:t>corrective/non-corrective</w:t>
      </w:r>
      <w:r>
        <w:rPr>
          <w:rFonts w:hint="cs"/>
          <w:rtl/>
        </w:rPr>
        <w:t xml:space="preserve"> </w:t>
      </w:r>
      <w:r w:rsidRPr="008779CF">
        <w:t>recasts (Farrar,</w:t>
      </w:r>
      <w:r>
        <w:rPr>
          <w:rFonts w:hint="cs"/>
          <w:rtl/>
        </w:rPr>
        <w:t xml:space="preserve"> </w:t>
      </w:r>
      <w:r w:rsidRPr="008779CF">
        <w:t>1992), full/partial recasts, single/multiple recasts, single utterance/extended utterance</w:t>
      </w:r>
      <w:r>
        <w:t xml:space="preserve"> </w:t>
      </w:r>
      <w:r w:rsidRPr="008779CF">
        <w:t xml:space="preserve">recasts, and </w:t>
      </w:r>
      <w:r>
        <w:t>simple/complex recasts (Ellis &amp;</w:t>
      </w:r>
      <w:r w:rsidRPr="008779CF">
        <w:rPr>
          <w:rtl/>
        </w:rPr>
        <w:t xml:space="preserve"> </w:t>
      </w:r>
      <w:r w:rsidRPr="008779CF">
        <w:t>Sheen, 2006).</w:t>
      </w:r>
      <w:r>
        <w:rPr>
          <w:rFonts w:hint="cs"/>
          <w:rtl/>
        </w:rPr>
        <w:t xml:space="preserve"> </w:t>
      </w:r>
      <w:r w:rsidRPr="008779CF">
        <w:t>Nelson, Denninger,</w:t>
      </w:r>
      <w:r>
        <w:rPr>
          <w:rFonts w:hint="cs"/>
          <w:rtl/>
        </w:rPr>
        <w:t xml:space="preserve"> </w:t>
      </w:r>
      <w:r w:rsidRPr="008779CF">
        <w:t>Bonvillian, Kaplan, and Baker (1984) also propose two further</w:t>
      </w:r>
      <w:r>
        <w:rPr>
          <w:rFonts w:hint="cs"/>
          <w:rtl/>
        </w:rPr>
        <w:t xml:space="preserve"> </w:t>
      </w:r>
      <w:r w:rsidRPr="008779CF">
        <w:t>classifications of</w:t>
      </w:r>
      <w:r w:rsidRPr="008779CF">
        <w:rPr>
          <w:rtl/>
        </w:rPr>
        <w:t xml:space="preserve"> </w:t>
      </w:r>
      <w:r w:rsidRPr="008779CF">
        <w:t>recasts,</w:t>
      </w:r>
      <w:r>
        <w:t xml:space="preserve"> </w:t>
      </w:r>
      <w:r w:rsidRPr="008779CF">
        <w:t>i.e. simple and complex recasts; the former deals with minimal</w:t>
      </w:r>
      <w:r>
        <w:rPr>
          <w:rFonts w:hint="cs"/>
          <w:rtl/>
        </w:rPr>
        <w:t xml:space="preserve"> </w:t>
      </w:r>
      <w:r>
        <w:t>changes to the</w:t>
      </w:r>
      <w:r w:rsidRPr="008779CF">
        <w:rPr>
          <w:rtl/>
        </w:rPr>
        <w:t xml:space="preserve"> </w:t>
      </w:r>
      <w:r w:rsidRPr="008779CF">
        <w:t>child's</w:t>
      </w:r>
      <w:r>
        <w:rPr>
          <w:rFonts w:hint="cs"/>
          <w:rtl/>
        </w:rPr>
        <w:t xml:space="preserve"> </w:t>
      </w:r>
      <w:r w:rsidRPr="008779CF">
        <w:t>utterance while the latter is concerned with providing the child</w:t>
      </w:r>
      <w:r>
        <w:rPr>
          <w:rFonts w:hint="cs"/>
          <w:rtl/>
        </w:rPr>
        <w:t xml:space="preserve"> </w:t>
      </w:r>
      <w:r w:rsidRPr="008779CF">
        <w:t>with substantial</w:t>
      </w:r>
      <w:r>
        <w:rPr>
          <w:rFonts w:hint="cs"/>
          <w:rtl/>
          <w:lang w:bidi="fa-IR"/>
        </w:rPr>
        <w:t xml:space="preserve"> </w:t>
      </w:r>
      <w:r w:rsidRPr="008779CF">
        <w:t>additions.</w:t>
      </w:r>
      <w:r>
        <w:rPr>
          <w:rFonts w:hint="cs"/>
          <w:rtl/>
        </w:rPr>
        <w:t xml:space="preserve"> </w:t>
      </w:r>
      <w:r w:rsidRPr="008779CF">
        <w:t>(p.22)</w:t>
      </w:r>
      <w:r>
        <w:t xml:space="preserve"> </w:t>
      </w:r>
    </w:p>
    <w:p w:rsidR="00A63160" w:rsidRPr="008779CF" w:rsidRDefault="00A63160" w:rsidP="00A63160">
      <w:pPr>
        <w:rPr>
          <w:rtl/>
          <w:lang w:bidi="fa-IR"/>
        </w:rPr>
      </w:pPr>
      <w:r w:rsidRPr="008779CF">
        <w:t xml:space="preserve">Although recast is “the most frequently used feedback”, there is a great deal of controversy over its effectiveness.  Some researchers (e.g., Long, 2006; Doughty, 2001) “consider recast as an effective corrective feedback technique”, while others (e.g., Lyster, 1998; Panova &amp; Lyster, 2002) “propose that learners usually pass recasts unnoticed and thus they regard them not as effective for interlangauge development” (Rezaei et al., p. 23).  </w:t>
      </w:r>
    </w:p>
    <w:p w:rsidR="00A63160" w:rsidRDefault="00A63160" w:rsidP="00A63160">
      <w:pPr>
        <w:pStyle w:val="Heading4"/>
        <w:rPr>
          <w:rtl/>
        </w:rPr>
      </w:pPr>
      <w:r w:rsidRPr="00F92C47">
        <w:t xml:space="preserve">Translation  </w:t>
      </w:r>
    </w:p>
    <w:p w:rsidR="00A63160" w:rsidRPr="00F92C47" w:rsidRDefault="00A63160" w:rsidP="00A63160">
      <w:pPr>
        <w:rPr>
          <w:b/>
          <w:bCs/>
          <w:rtl/>
        </w:rPr>
      </w:pPr>
      <w:r w:rsidRPr="008779CF">
        <w:t>Translation was regarded as a subdivision of recast (Lyster &amp; Ranta, 1997). But, according to Rezaei et al., the difference between translation and recast is that “the former is generated in response to a learner's ill-formed utterance in the target language while the latter is generated in response to a learner's well-formed utterance in a language other than the target language.” (p. 24). In this vein, translation and recast CFs also have some common features. According to Rezaei et al.:</w:t>
      </w:r>
      <w:r w:rsidRPr="008779CF">
        <w:rPr>
          <w:lang w:bidi="fa-IR"/>
        </w:rPr>
        <w:t xml:space="preserve"> </w:t>
      </w:r>
    </w:p>
    <w:p w:rsidR="00A63160" w:rsidRPr="008779CF" w:rsidRDefault="00A63160" w:rsidP="00A63160">
      <w:pPr>
        <w:rPr>
          <w:rtl/>
          <w:lang w:bidi="fa-IR"/>
        </w:rPr>
      </w:pPr>
      <w:r w:rsidRPr="008779CF">
        <w:t>They both lack overt indicators that an error has been produced. This shared</w:t>
      </w:r>
      <w:r w:rsidRPr="008779CF">
        <w:rPr>
          <w:rtl/>
        </w:rPr>
        <w:t xml:space="preserve"> </w:t>
      </w:r>
      <w:r w:rsidRPr="008779CF">
        <w:t>feature</w:t>
      </w:r>
      <w:r>
        <w:rPr>
          <w:rFonts w:hint="cs"/>
          <w:rtl/>
        </w:rPr>
        <w:t xml:space="preserve"> </w:t>
      </w:r>
      <w:r w:rsidRPr="008779CF">
        <w:t>places both</w:t>
      </w:r>
      <w:r w:rsidRPr="008779CF">
        <w:rPr>
          <w:rtl/>
        </w:rPr>
        <w:t xml:space="preserve"> </w:t>
      </w:r>
      <w:r w:rsidRPr="008779CF">
        <w:t>toward</w:t>
      </w:r>
      <w:r w:rsidRPr="008779CF">
        <w:rPr>
          <w:rtl/>
        </w:rPr>
        <w:t xml:space="preserve"> </w:t>
      </w:r>
      <w:r w:rsidRPr="008779CF">
        <w:t>the implicit end of the corrective feedback spectrum</w:t>
      </w:r>
      <w:r w:rsidRPr="008779CF">
        <w:rPr>
          <w:rtl/>
        </w:rPr>
        <w:t xml:space="preserve"> </w:t>
      </w:r>
      <w:r>
        <w:t xml:space="preserve"> </w:t>
      </w:r>
      <w:r w:rsidRPr="008779CF">
        <w:rPr>
          <w:rtl/>
        </w:rPr>
        <w:t xml:space="preserve"> </w:t>
      </w:r>
      <w:r w:rsidRPr="008779CF">
        <w:t>Translations</w:t>
      </w:r>
      <w:r>
        <w:rPr>
          <w:rFonts w:hint="cs"/>
          <w:rtl/>
        </w:rPr>
        <w:t xml:space="preserve"> </w:t>
      </w:r>
      <w:r w:rsidRPr="008779CF">
        <w:t>also have another feature in</w:t>
      </w:r>
      <w:r w:rsidRPr="008779CF">
        <w:rPr>
          <w:rtl/>
        </w:rPr>
        <w:t xml:space="preserve"> </w:t>
      </w:r>
      <w:r w:rsidRPr="008779CF">
        <w:t>common with recast as well as explicit</w:t>
      </w:r>
      <w:r w:rsidRPr="008779CF">
        <w:rPr>
          <w:rtl/>
        </w:rPr>
        <w:t xml:space="preserve"> </w:t>
      </w:r>
      <w:r w:rsidRPr="008779CF">
        <w:t>error correction that</w:t>
      </w:r>
      <w:r>
        <w:rPr>
          <w:rFonts w:hint="cs"/>
          <w:rtl/>
        </w:rPr>
        <w:t xml:space="preserve"> </w:t>
      </w:r>
      <w:r>
        <w:t>is</w:t>
      </w:r>
      <w:r>
        <w:rPr>
          <w:rFonts w:hint="cs"/>
          <w:rtl/>
        </w:rPr>
        <w:t xml:space="preserve"> </w:t>
      </w:r>
      <w:r w:rsidRPr="008779CF">
        <w:t>they all contain the target-like reformulation of the learner’s error and thus provide</w:t>
      </w:r>
      <w:r>
        <w:rPr>
          <w:rFonts w:hint="cs"/>
          <w:rtl/>
        </w:rPr>
        <w:t xml:space="preserve"> </w:t>
      </w:r>
      <w:r w:rsidRPr="008779CF">
        <w:t>the</w:t>
      </w:r>
      <w:r>
        <w:rPr>
          <w:rFonts w:hint="cs"/>
          <w:rtl/>
        </w:rPr>
        <w:t xml:space="preserve"> </w:t>
      </w:r>
      <w:r w:rsidRPr="008779CF">
        <w:t>learner with positive evidence.</w:t>
      </w:r>
      <w:r w:rsidRPr="008779CF">
        <w:rPr>
          <w:rtl/>
        </w:rPr>
        <w:t xml:space="preserve"> </w:t>
      </w:r>
      <w:r w:rsidRPr="008779CF">
        <w:t>(p. 24)</w:t>
      </w:r>
    </w:p>
    <w:p w:rsidR="00A63160" w:rsidRDefault="00A63160" w:rsidP="00A63160">
      <w:pPr>
        <w:pStyle w:val="Heading4"/>
        <w:rPr>
          <w:rtl/>
        </w:rPr>
      </w:pPr>
      <w:r w:rsidRPr="00375F13">
        <w:t xml:space="preserve">Clarification </w:t>
      </w:r>
      <w:r w:rsidR="000C7855">
        <w:t>r</w:t>
      </w:r>
      <w:r w:rsidRPr="00375F13">
        <w:t xml:space="preserve">equests </w:t>
      </w:r>
    </w:p>
    <w:p w:rsidR="00A63160" w:rsidRPr="006A46A9" w:rsidRDefault="00A63160" w:rsidP="00A63160">
      <w:pPr>
        <w:rPr>
          <w:rtl/>
        </w:rPr>
      </w:pPr>
      <w:r w:rsidRPr="008779CF">
        <w:t xml:space="preserve">According to Rezaei et al., this kind of feedback “carries questions indicating that the utterance has been ill-formed or misunderstood and that a reformulation or a repetition is required” (p. 23). This type of feedback “unlike explicit error correction, recasts, and translations, can be more consistently relied upon to generate modified output from learners since it might not supply the learners with any information concerning the type or location of the error.” (p. 23). Thus, they demand deeper levels of mental processing required by the learners to produce target-like forms and therefore are more beneficial to high-level learners. </w:t>
      </w:r>
    </w:p>
    <w:p w:rsidR="00A63160" w:rsidRPr="00ED5FC4" w:rsidRDefault="00A63160" w:rsidP="00A63160">
      <w:pPr>
        <w:pStyle w:val="Heading4"/>
        <w:rPr>
          <w:rtl/>
        </w:rPr>
      </w:pPr>
      <w:r w:rsidRPr="00ED5FC4">
        <w:t xml:space="preserve">Findings on </w:t>
      </w:r>
      <w:r w:rsidR="000C7855" w:rsidRPr="00ED5FC4">
        <w:t xml:space="preserve">different types of written </w:t>
      </w:r>
      <w:r w:rsidRPr="00ED5FC4">
        <w:t xml:space="preserve">CF </w:t>
      </w:r>
    </w:p>
    <w:p w:rsidR="00A63160" w:rsidRPr="006A46A9" w:rsidRDefault="00A63160" w:rsidP="00A63160">
      <w:r w:rsidRPr="006A46A9">
        <w:t>In order to explore the issue of corrective feedback in writing development, numerous researchers and scholars have focused on the effectiveness of different types of CF in dealing with learners’ errors in writing and various positive outcomes have been reported. These studies have focused on the continuum ranging from explicit (direct) to implicit (indirect) CF. Generally, Sheen, Wright, Moldawa (2009) support CF and its contributions to writing development and learning by mentioning that “…CF may enhance learning by helping learners to (1) notice</w:t>
      </w:r>
      <w:r w:rsidRPr="006A46A9">
        <w:rPr>
          <w:i/>
          <w:iCs/>
        </w:rPr>
        <w:t xml:space="preserve"> </w:t>
      </w:r>
      <w:r w:rsidRPr="006A46A9">
        <w:t xml:space="preserve">their errors in their written work, (2) engage in hypotheses testing in a systematic way and (3) monitor the accuracy of their writing by tapping into their existing explicit grammatical knowledge” (p. 567). </w:t>
      </w:r>
    </w:p>
    <w:p w:rsidR="00A63160" w:rsidRPr="006A46A9" w:rsidRDefault="00A63160" w:rsidP="00A63160">
      <w:r w:rsidRPr="006A46A9">
        <w:lastRenderedPageBreak/>
        <w:t xml:space="preserve">According to Ellis’s (2009) and Bitchener’s (2008) findings, explicit CF provides learners with direct information as to what has gone wrong especially if learners are not proficient enough to come up with a solution to the problem. Explicit CF has also proved to enhance acquisition of certain grammatical structures (Sheen, 2007). As opposed to explicit CF, indirect CF does not provide learners with overt indicators as to what has gone wrong nor does it provide the corrected structures. Instead, some clues or hints attract their attention to the problematic areas (Ferris &amp; Roberts, 2001). It has also been argued that explicit CF, by nature, does not involve learners in deep internal processing as it is the case in implicit CF. Therefore, indirect CF is more probable to result in long-term learning than direct CF (Ferris &amp; Roberts, 2001). In the same vein, Ferris (2002) contends that direct CF is more preferable to indirect CF when dealing with lower-level learners as they have not yet acquired enough grammatical knowledge to self-correct their errors. </w:t>
      </w:r>
    </w:p>
    <w:p w:rsidR="00A63160" w:rsidRDefault="00A63160" w:rsidP="00A63160">
      <w:pPr>
        <w:rPr>
          <w:rtl/>
          <w:lang w:bidi="fa-IR"/>
        </w:rPr>
      </w:pPr>
      <w:r w:rsidRPr="006A46A9">
        <w:t>Recent studies on CF have also supported the positive contribution of feedback to writing improvement (e.g., Chandler, 2003; Bitchener &amp; Knoch, 2009; Bitchener, 2008). In an earlier study, Lalande (1982) showed that indirect CF had better results than direct CF in learning promotion. As opposed to Lalande’s (1982) findings, Chandler (2003) investigated different types of WCF, including direct and indirect types. She concluded that, direct CF had significant effects on the improvement of learners’ writing grammar accuracy. Liang (2008) conducted an experiment with different groups of participants receiving different types of WCF as well. Results of this study showed that, both direct and indirect CF helped learners promote certain aspects of their writing such as morphological and syn</w:t>
      </w:r>
      <w:r>
        <w:t xml:space="preserve">tactic features. </w:t>
      </w:r>
    </w:p>
    <w:p w:rsidR="00A63160" w:rsidRPr="006A46A9" w:rsidRDefault="00A63160" w:rsidP="00A63160">
      <w:r w:rsidRPr="006A46A9">
        <w:t xml:space="preserve">As stated by Campillo (2003), Lightbown and Spada (1990) examined and “analysed the effect of explicit corrective feedback in an intensive communicative classroom having English as L2. Their results corroborated the hypothesis that the teaching of formal aspects … contributer to the learners’ linguistic accuracy” (p. 210). Spada and Lightbown (1993) later conducted another study similar to their previous study demonstrating that “explicit corrective feedback increased linguistic accuracy” (Campillo, 2003, p. 211). Accordingly, another study was conducted by </w:t>
      </w:r>
      <w:r w:rsidRPr="006A46A9">
        <w:rPr>
          <w:color w:val="000000"/>
        </w:rPr>
        <w:t>White, Spada, Lightbown, and Ranta</w:t>
      </w:r>
      <w:r w:rsidRPr="006A46A9">
        <w:t xml:space="preserve"> (1991) comparing “the performance of explicit corrective feedback learners with those who didn’t receive the treatment. … Again, the groups exposed to explicit teaching and explicit corrective feedback showed a higher level of linguistic accuracy than in control groups” (Campillo, 2003, p. 211). Likewise, according to Campillo, alongside with explicit CF, “implicit corrective feedback has also been widely investigated and can be implemented in different ways” (p. 211). </w:t>
      </w:r>
    </w:p>
    <w:p w:rsidR="00A63160" w:rsidRPr="00B17A07" w:rsidRDefault="00A63160" w:rsidP="00A63160">
      <w:r w:rsidRPr="006A46A9">
        <w:t>Kim and Mathes (2001) examined the effectiveness of explicit CF, i.e., metalinguistic, and implicit CF, i.e., recasts. Their findings revealed that both explicit and implicit CF were quite effective in diminishing the chances of error repetition in the future. They also concluded that it would be more beneficial to learners if teachers provide them with “incessant” flow of CF over a more prolonged period of time. In a survey conducted by Ancker (2000), it was concluded that most of the surveyed learners corroborated the application of CF by teachers as often as possible, whereas teachers indicated that it is not necessary to correct errors all the time as it might hinder negotiation of meaning among learners. Nabel and Swain (2002) also investigated the degree of learners’ awareness towards CF provided by the teacher. They found that during the experiment, participants could successfully identify recasts given be the teachers. Moreover, they discovered that recasts are more effective regarding student-centered interaction rather than teacher-centered communicat</w:t>
      </w:r>
      <w:r>
        <w:t xml:space="preserve">ion. </w:t>
      </w:r>
      <w:r w:rsidRPr="006A46A9">
        <w:t>Carpenter, Jeon, MacGregor, and Mackey (2006) argue that recasts are ambiguous and even perplex learners. They also conclude that teachers need to provide more evidence and information for learners to recognize recasts. Numerous studies (e.g., Lyster &amp; Ranta, 1997; Panova &amp; Lyster, 2002) revealed that recasts are the most frequently used type of CF. Lyster and Ranta (1997) also conclude that recasts are beneficial as they reduce the possibility of interruption in the flow of communication of meaning.</w:t>
      </w:r>
      <w:r w:rsidRPr="006A46A9">
        <w:rPr>
          <w:rtl/>
        </w:rPr>
        <w:t xml:space="preserve"> </w:t>
      </w:r>
      <w:r w:rsidRPr="006A46A9">
        <w:t xml:space="preserve">Campillo (1993) also argues </w:t>
      </w:r>
      <w:r w:rsidRPr="006A46A9">
        <w:lastRenderedPageBreak/>
        <w:t xml:space="preserve">that, “nevertheless, not all corrective feedback techniques have been regarded as equally effective” (p. 212). He also refers to some recent studies (e.g., Lyster, 1998) and states the need “to explore the effect of combinations of corrective feedback, as opposed to isolated techniques” (p. 212). </w:t>
      </w:r>
    </w:p>
    <w:p w:rsidR="00A63160" w:rsidRPr="00A93B1E" w:rsidRDefault="00A63160" w:rsidP="000C7855">
      <w:pPr>
        <w:pStyle w:val="Heading4"/>
      </w:pPr>
      <w:r w:rsidRPr="00A93B1E">
        <w:t xml:space="preserve">Findings on </w:t>
      </w:r>
      <w:r w:rsidR="001F66FB">
        <w:t>o</w:t>
      </w:r>
      <w:r w:rsidRPr="00A93B1E">
        <w:t>ral CF</w:t>
      </w:r>
    </w:p>
    <w:p w:rsidR="00A63160" w:rsidRDefault="00A63160" w:rsidP="00A63160">
      <w:pPr>
        <w:rPr>
          <w:color w:val="000000"/>
          <w:rtl/>
        </w:rPr>
      </w:pPr>
      <w:r w:rsidRPr="00B17A07">
        <w:t xml:space="preserve">In recent years, research has also offered growing body of evidence confirming the effectiveness of oral CF (OCF) on learners overall language learning development. In this sense, Mackey (2006) conducted an experiment focusing on the probable effectiveness of OCF on learners’ ability in noticing linguistic structures in </w:t>
      </w:r>
      <w:r w:rsidR="001F66FB">
        <w:t>second language (</w:t>
      </w:r>
      <w:r w:rsidRPr="00B17A07">
        <w:t>SL</w:t>
      </w:r>
      <w:r w:rsidR="001F66FB">
        <w:t>)</w:t>
      </w:r>
      <w:r w:rsidRPr="00B17A07">
        <w:t xml:space="preserve"> context. These findings indicated that those who received CF orally performed better in noticing some linguistic features than the control group who received no feedback. As opposed to Mackey’s (2006) findings, </w:t>
      </w:r>
      <w:r w:rsidRPr="00B17A07">
        <w:rPr>
          <w:color w:val="000000"/>
        </w:rPr>
        <w:t xml:space="preserve">Eş’s (2003) investigation of OCF revealed no significant difference of linguistic accuracy between those who received CF and those who did not. Eş’s (2003) findings have been inconsistent with most of the CF studies confirming the efficacy of CF up to now. In order to further substantiate positive contributions of CF to language learning, Kılınç (2007) used different types of OCF in his classes and found that recasts were the most used CF (about 56%) in communication classes. Nassaji (2007) in his investigation of different types of CF found that explicit CF is more effective than implicit CF in getting learners to repair their errors. Lyster (1998) also found positive evidence regarding the use of implicit CF such as elicitation, clarification requests, and repetition in dealing with syntactic problems. In one study, Ammar and Spada (2006) conducted an experiment evaluating the efficacy of different types of OCF in speaking classes. In this study, three groups of participants, i.e., two experimental groups receiving OCF and one control group were identified. The experimental groups showed significant improvement over the control group in applying certain grammatical features in their future speaking. To conclude, this study also indicated that the application of different OCF techniques help learners promote their interlanguage with respect to their level of proficiency. </w:t>
      </w:r>
    </w:p>
    <w:p w:rsidR="00A63160" w:rsidRPr="00AA5EC3" w:rsidRDefault="00A63160" w:rsidP="00A63160">
      <w:pPr>
        <w:rPr>
          <w:sz w:val="28"/>
          <w:szCs w:val="28"/>
          <w:rtl/>
        </w:rPr>
      </w:pPr>
      <w:r w:rsidRPr="00B17A07">
        <w:rPr>
          <w:color w:val="000000"/>
        </w:rPr>
        <w:t xml:space="preserve">In order to investigate the possible effects of OCF on the improvement of learners’ interlanguage, </w:t>
      </w:r>
      <w:r w:rsidRPr="00B17A07">
        <w:t>Ellis, Loewen, and Erlam</w:t>
      </w:r>
      <w:r w:rsidRPr="00B17A07">
        <w:rPr>
          <w:color w:val="000000"/>
        </w:rPr>
        <w:t xml:space="preserve"> (2006) embarked on a study with a similar design to Ammar and Spada’s (2006) experiment. In this study, two experimental groups received recasts and metalinguistic types of CF. Findings of this study revealed that the experimental groups performed significantly better than the control group who received no CF in their understanding of linguistic structures. Regarding experimental groups, metalinguistic CF proved to be more effective than recasts.</w:t>
      </w:r>
      <w:r w:rsidRPr="00B17A07">
        <w:rPr>
          <w:color w:val="000000"/>
          <w:rtl/>
        </w:rPr>
        <w:t xml:space="preserve"> </w:t>
      </w:r>
      <w:r w:rsidRPr="00B17A07">
        <w:rPr>
          <w:color w:val="000000"/>
        </w:rPr>
        <w:t xml:space="preserve">In an interesting study conducted by Bitchener, Young and Cameron (2005), the combination of OCF and WCF was investigated on the learners’ writing accuracy. In this study, they specifically focused on the usage of definite articles and past simple tense. This amalgamation of oral and written CF proved to be quite effective in improving certain grammatical features of learners’ output. </w:t>
      </w:r>
    </w:p>
    <w:p w:rsidR="00A63160" w:rsidRPr="002F32DE" w:rsidRDefault="00A63160" w:rsidP="000C7855">
      <w:pPr>
        <w:pStyle w:val="Heading3"/>
        <w:rPr>
          <w:lang w:bidi="fa-IR"/>
        </w:rPr>
      </w:pPr>
      <w:r w:rsidRPr="002F32DE">
        <w:t>Computer-</w:t>
      </w:r>
      <w:r w:rsidR="001F66FB" w:rsidRPr="002F32DE">
        <w:t>mediated communication and corrective feedback</w:t>
      </w:r>
      <w:r w:rsidR="001F66FB" w:rsidRPr="002F32DE">
        <w:rPr>
          <w:lang w:bidi="fa-IR"/>
        </w:rPr>
        <w:t xml:space="preserve"> </w:t>
      </w:r>
    </w:p>
    <w:p w:rsidR="00A63160" w:rsidRPr="005033E0" w:rsidRDefault="00A63160" w:rsidP="00A63160">
      <w:r w:rsidRPr="005033E0">
        <w:t xml:space="preserve">Language educators and specialists have recently begun to discover the potentiality of computer technologies and in particular computer-mediated communication (CMC) for language learning and teaching. The term CMC was first coined and introduced by Hiltz and Turoff (1978) while experimenting on computer conferencing as a means of communication on the Internet. Barnes (2002) defines CMC as a wide range of technologies that paves the way for human interaction and sharing of information through interconnected networks of computers including e-mail, discussion groups, newsgroups, and real-time chat. December (1997, </w:t>
      </w:r>
      <w:r w:rsidRPr="005033E0">
        <w:rPr>
          <w:noProof/>
        </w:rPr>
        <w:t>¶</w:t>
      </w:r>
      <w:r w:rsidRPr="005033E0">
        <w:t xml:space="preserve"> 3) also states that “Computer-Mediated Communication is a process of human communication via computers, involving people, situated in particular contexts, engaging in processes to shape media for a variety of purposes”. Having been adopted in language learning and teaching, CMC has proved to </w:t>
      </w:r>
      <w:r w:rsidRPr="005033E0">
        <w:lastRenderedPageBreak/>
        <w:t>be more effective than class-restricted environment</w:t>
      </w:r>
      <w:r w:rsidR="001F66FB">
        <w:t>s</w:t>
      </w:r>
      <w:r w:rsidRPr="005033E0">
        <w:t xml:space="preserve"> in that students no longer feel bored and frustrated with monotonous materials </w:t>
      </w:r>
      <w:r>
        <w:t>and</w:t>
      </w:r>
      <w:r w:rsidRPr="005033E0">
        <w:t xml:space="preserve"> teaching and can learn new things in more interesting and effective ways. Fey (1998) maintains that, “computer networks are allowing students to transcend boundaries of classroom walls and to learn in new ways” (p. 86). </w:t>
      </w:r>
    </w:p>
    <w:p w:rsidR="00A63160" w:rsidRPr="005033E0" w:rsidRDefault="00A63160" w:rsidP="00A63160">
      <w:r w:rsidRPr="005033E0">
        <w:t xml:space="preserve">According to Warschauer (2001), CMC or “on-line communication refers to reading, writing and communication via networked computers” and comprises of: </w:t>
      </w:r>
    </w:p>
    <w:p w:rsidR="001F66FB" w:rsidRDefault="00A63160" w:rsidP="008317AF">
      <w:pPr>
        <w:pStyle w:val="ListParagraph"/>
        <w:numPr>
          <w:ilvl w:val="0"/>
          <w:numId w:val="46"/>
        </w:numPr>
        <w:ind w:left="720" w:right="360"/>
        <w:rPr>
          <w:rtl/>
          <w:lang w:bidi="fa-IR"/>
        </w:rPr>
      </w:pPr>
      <w:r w:rsidRPr="005033E0">
        <w:t>Synchronous computer-mediated communication, whereby people communicate in</w:t>
      </w:r>
      <w:r>
        <w:t xml:space="preserve"> </w:t>
      </w:r>
      <w:r w:rsidR="001F66FB">
        <w:t>real time via chat</w:t>
      </w:r>
      <w:r w:rsidRPr="005033E0">
        <w:rPr>
          <w:rtl/>
        </w:rPr>
        <w:t xml:space="preserve"> </w:t>
      </w:r>
      <w:r w:rsidRPr="005033E0">
        <w:t>or</w:t>
      </w:r>
      <w:r w:rsidRPr="005033E0">
        <w:rPr>
          <w:rtl/>
          <w:lang w:bidi="fa-IR"/>
        </w:rPr>
        <w:t xml:space="preserve"> </w:t>
      </w:r>
      <w:r w:rsidRPr="005033E0">
        <w:t>discussion software, with all participants at their</w:t>
      </w:r>
      <w:r w:rsidRPr="005033E0">
        <w:rPr>
          <w:rtl/>
        </w:rPr>
        <w:t xml:space="preserve"> </w:t>
      </w:r>
      <w:r w:rsidRPr="005033E0">
        <w:t>computers at the</w:t>
      </w:r>
      <w:r>
        <w:t xml:space="preserve"> </w:t>
      </w:r>
      <w:r w:rsidRPr="005033E0">
        <w:t>same time;</w:t>
      </w:r>
      <w:r w:rsidRPr="005033E0">
        <w:rPr>
          <w:rtl/>
          <w:lang w:bidi="fa-IR"/>
        </w:rPr>
        <w:t xml:space="preserve"> </w:t>
      </w:r>
    </w:p>
    <w:p w:rsidR="001F66FB" w:rsidRDefault="00A63160" w:rsidP="008317AF">
      <w:pPr>
        <w:pStyle w:val="ListParagraph"/>
        <w:numPr>
          <w:ilvl w:val="0"/>
          <w:numId w:val="46"/>
        </w:numPr>
        <w:ind w:left="720" w:right="360"/>
      </w:pPr>
      <w:r w:rsidRPr="005033E0">
        <w:t xml:space="preserve">Asynchronous </w:t>
      </w:r>
      <w:r w:rsidRPr="005033E0">
        <w:rPr>
          <w:rtl/>
        </w:rPr>
        <w:t xml:space="preserve"> </w:t>
      </w:r>
      <w:r w:rsidRPr="005033E0">
        <w:t>computer-mediated communication, whereby people</w:t>
      </w:r>
      <w:r>
        <w:rPr>
          <w:rtl/>
        </w:rPr>
        <w:t xml:space="preserve"> </w:t>
      </w:r>
      <w:r>
        <w:rPr>
          <w:rFonts w:hint="cs"/>
          <w:rtl/>
        </w:rPr>
        <w:t xml:space="preserve"> </w:t>
      </w:r>
      <w:r w:rsidRPr="005033E0">
        <w:t>communicate in a delayed fashion</w:t>
      </w:r>
      <w:r w:rsidRPr="005033E0">
        <w:rPr>
          <w:rtl/>
        </w:rPr>
        <w:t xml:space="preserve"> </w:t>
      </w:r>
      <w:r w:rsidRPr="005033E0">
        <w:t>by computer, e.g.</w:t>
      </w:r>
      <w:r w:rsidRPr="005033E0">
        <w:rPr>
          <w:rtl/>
        </w:rPr>
        <w:t xml:space="preserve"> </w:t>
      </w:r>
      <w:r w:rsidRPr="005033E0">
        <w:t>by e-mail; and</w:t>
      </w:r>
    </w:p>
    <w:p w:rsidR="00A63160" w:rsidRPr="005033E0" w:rsidRDefault="00A63160" w:rsidP="008317AF">
      <w:pPr>
        <w:pStyle w:val="ListParagraph"/>
        <w:numPr>
          <w:ilvl w:val="0"/>
          <w:numId w:val="46"/>
        </w:numPr>
        <w:ind w:left="720" w:right="360"/>
      </w:pPr>
      <w:r w:rsidRPr="005033E0">
        <w:t>The reading and writing of on-line documents via the internet. (p. 207)</w:t>
      </w:r>
      <w:r w:rsidRPr="005033E0">
        <w:rPr>
          <w:lang w:bidi="fa-IR"/>
        </w:rPr>
        <w:t xml:space="preserve"> </w:t>
      </w:r>
    </w:p>
    <w:p w:rsidR="008317AF" w:rsidRDefault="00A63160" w:rsidP="00A63160">
      <w:r w:rsidRPr="005033E0">
        <w:t>As stated by Sauro (2009), “With the tools of technolo</w:t>
      </w:r>
      <w:r>
        <w:t>gy making their way into the L2</w:t>
      </w:r>
      <w:r>
        <w:rPr>
          <w:rFonts w:hint="cs"/>
          <w:rtl/>
        </w:rPr>
        <w:t xml:space="preserve"> </w:t>
      </w:r>
      <w:r w:rsidRPr="005033E0">
        <w:t>classroom, corrective feedback delivered via written synchronous computer-mediated communication (SCMC) holds particular promise for the learning of especially complex or low salient forms … during written interaction” (p. 96). Thus, synchronous and asynchronous CMC environments are ideal contexts for the investigation of CF during written communication as they provide student-teacher interaction in a way that increases students’ awareness towards target language and eliminates time and distance limitations. CF in this sense can draw learners’ attention to the discrepancies between learners’ output and target-like norm and facilitate the occurrence of noticing of the gap which according to Schmidt (2001) is the “first step</w:t>
      </w:r>
      <w:r>
        <w:t xml:space="preserve"> in language building” (p. 31).</w:t>
      </w:r>
      <w:r>
        <w:rPr>
          <w:rFonts w:hint="cs"/>
          <w:rtl/>
        </w:rPr>
        <w:t xml:space="preserve"> </w:t>
      </w:r>
      <w:r w:rsidRPr="005033E0">
        <w:t xml:space="preserve">Therefore, one of the main areas of research which has recently provoked a great deal of interest and attracted considerable attention is the investigation of the extent to which corrective feedback via online media can contribute to language development. However, the investigation in this area is still limited and more research is merited to gain deeper insight into the advantages of computer technologies on language learning. </w:t>
      </w:r>
    </w:p>
    <w:p w:rsidR="008317AF" w:rsidRDefault="00A63160" w:rsidP="00A63160">
      <w:r w:rsidRPr="005033E0">
        <w:t>According to Loewen and Erlam (2006), “while most of the research that has focused on interaction has taken place in the language classroom, there is increasing recognition of the importance of the computer in providing opportunities for learner interaction” (p. 1). Accordingly, “Early research that has looked at the effectiveness of … CMC in promoting interaction is encouraging, suggesting that it may indeed be superior to the (often teacher-dominated) language classroom in terms of the opportunities it affords” (p. 1)</w:t>
      </w:r>
      <w:r w:rsidRPr="005033E0">
        <w:rPr>
          <w:rtl/>
        </w:rPr>
        <w:t>.</w:t>
      </w:r>
      <w:r w:rsidRPr="005033E0">
        <w:t xml:space="preserve"> These opportunities, in turn, provide learners with an environment in which they can interact and exchange information contributing more to the negotiation of meaning with the result of overall learning improvement. </w:t>
      </w:r>
    </w:p>
    <w:p w:rsidR="008317AF" w:rsidRDefault="00A63160" w:rsidP="00A63160">
      <w:r w:rsidRPr="005033E0">
        <w:t xml:space="preserve">A number of studies (e.g., Lea, 2001) on CMC and students’ academic writing assignments have also shown that students make use of online collaborative learning context, reflect on their own learning, draw upon their peers’ feedback in the construction of their own knowledge, and thus benefit in their own academic writing. In one study, Razagifard and Rahimpour (2010) investigated the effectiveness of corrective feedback through chat on learners’ grammar improvement and found out that meta-linguistic corrective feedback is more effective than recasts in getting learners to both notice the gap and enhance their ability to correctly apply grammatical structures. </w:t>
      </w:r>
    </w:p>
    <w:p w:rsidR="008317AF" w:rsidRDefault="00A63160" w:rsidP="00A63160">
      <w:r w:rsidRPr="005033E0">
        <w:t xml:space="preserve">As referred to in Loewen and Erlam (2006), Nagata (1993) conducted a study in order to investigate the effectiveness of synchronous CF on two groups, “one received feedback about what was missing or not expected, while the other received feedback that included the former, along with metalinguistic explanations. Nagata found that of the two, metalinguistic feedback was more effective” (p. 3). Accordingly, in another study, Sanz (2004) “found no difference between </w:t>
      </w:r>
      <w:r w:rsidRPr="005033E0">
        <w:lastRenderedPageBreak/>
        <w:t xml:space="preserve">the effectiveness of explicit and implicit feedback in a CALL study which had students work at input processing activities” (Loewen &amp; Erlam, 2006, p. 3). Castañeda (2005) experimented on CF through both asynchronous and synchronous CMC. The findings of this study showed that instructors, responsible to provide feedback in this experiment, used asynchronous CMC more frequently than synchronous CMC. In the same vein, Iwasaka and Oliver (2003) conducted an experiment to investigate the existence of CF in computer-mediated contexts. They utilized on-line chat as it resembled FtF interaction and allowed learners to interact directly with native speakers providing them with CF on their erroneous language output. The findings of this study revealed that the frequency of CF via chat was less than that in FtF interaction. It was also found that CF was mostly used to deal with lexical and syntactic errors. </w:t>
      </w:r>
    </w:p>
    <w:p w:rsidR="008317AF" w:rsidRDefault="00A63160" w:rsidP="00A63160">
      <w:r w:rsidRPr="005033E0">
        <w:t xml:space="preserve">Pellettieri (2000) investigated implicit and explicit types of CF through electronic media and found positive results. Accordingly, she examined whether negotiation of meaning during task-based chat provide any chance for incorporation of CF into learning context. Results of this study suggested that the participants’ negotiation of meaning during task-based chat improved and CF was also facilitated and applied more. Pellettieri (2000) supports feedback through CMC and states that “Because CMC fosters negotiation of meaning and form-focused interaction and because students communicating through this medium have more time to process and monitor the interlanguage, I believe that CMC can play a significant role in the development of grammatical competence” (p. 83). Tudini (2003) also supports that negotiation of meaning and CF through CMC facilitates learners’ understanding of syntactic and grammatical issues. Another study by Whyte, Karolick, Neilsen, Elder and Hawley (1995) proved that the learners who received computer-provided CF greatly improved their learning conditions over those who did not receive any CF. In yet another study, Clarina (1992) found that those who received asynchronous CF outperformed those who did not receive any feedback. </w:t>
      </w:r>
    </w:p>
    <w:p w:rsidR="00A63160" w:rsidRPr="005033E0" w:rsidRDefault="00A63160" w:rsidP="00A63160">
      <w:r w:rsidRPr="005033E0">
        <w:t xml:space="preserve">It has also been suggested that “low-achievers” benefit more from synchronous CF, while “high-achievers” from asynchronous CF (Gaynor, 1981; Roper, 1977). According to Roper (1977), this may be due to the fact that low-achievers do not have enough knowledge and internal processing abilities to find a solution to their problem. Thus, it would be more beneficial to them if their deviation from the target-like form is brought to their attention immediately. On the other hand, high-achievers can contemplate carefully and draw on their own background knowledge and come up with an appropriate solution to the problem at hand. </w:t>
      </w:r>
    </w:p>
    <w:p w:rsidR="00A63160" w:rsidRPr="00027D49" w:rsidRDefault="00A63160" w:rsidP="00A63160">
      <w:pPr>
        <w:rPr>
          <w:rtl/>
          <w:lang w:bidi="fa-IR"/>
        </w:rPr>
      </w:pPr>
      <w:r w:rsidRPr="005033E0">
        <w:t xml:space="preserve">Heift (2004) refers to various studies (e.g., Bangs, 2002; Felix, 2002) and mentions that “Despite a vast interest in studying the role of corrective feedback in the oral classroom, very little research has been conducted for the Computer-Assisted Language Learning (CALL) environment” (pp. 416-417 ). Similarly, Sauro (2009) cites various other studies (e.g., Loewen &amp; Erlam, 2006; Sachs &amp; Suh, 2007) and argues that “despite the potential advantages of SCMC for facilitating the noticing and learning of these low salient and difficult forms, research on learning outcomes following computer-mediated corrective feedback is still limited” (p. 96). </w:t>
      </w:r>
    </w:p>
    <w:p w:rsidR="00A63160" w:rsidRPr="005D4AD4" w:rsidRDefault="00A63160" w:rsidP="000C7855">
      <w:pPr>
        <w:pStyle w:val="Heading3"/>
        <w:rPr>
          <w:color w:val="000000" w:themeColor="text1"/>
          <w:rtl/>
        </w:rPr>
      </w:pPr>
      <w:r w:rsidRPr="005D4AD4">
        <w:t>Conclusion</w:t>
      </w:r>
      <w:r w:rsidRPr="005D4AD4">
        <w:rPr>
          <w:color w:val="000000"/>
        </w:rPr>
        <w:t xml:space="preserve"> </w:t>
      </w:r>
    </w:p>
    <w:p w:rsidR="000C7855" w:rsidRDefault="00A63160" w:rsidP="00A63160">
      <w:pPr>
        <w:rPr>
          <w:color w:val="000000" w:themeColor="text1"/>
        </w:rPr>
      </w:pPr>
      <w:r w:rsidRPr="00027D49">
        <w:rPr>
          <w:color w:val="000000" w:themeColor="text1"/>
        </w:rPr>
        <w:t xml:space="preserve">In light of the aforementioned studies, it has become evident that corrective feedback, ranging from explicit to implicit, holds great potentialities in language teaching and learning. Of all language skills, writing abilities was shown to benefit most from corrective feedback as the focus is on syntax and accuracy. Oral skills were also shown to improve. Promising grounds have been broken through by the introduction of computer technologies into language learning environments and providing feedback through electronic media has provided a host of pristine searching sphere well worth delving deeper into. </w:t>
      </w:r>
    </w:p>
    <w:p w:rsidR="00A63160" w:rsidRPr="00027D49" w:rsidRDefault="00A63160" w:rsidP="00A63160">
      <w:pPr>
        <w:rPr>
          <w:color w:val="000000" w:themeColor="text1"/>
        </w:rPr>
      </w:pPr>
      <w:r w:rsidRPr="00027D49">
        <w:rPr>
          <w:color w:val="000000" w:themeColor="text1"/>
        </w:rPr>
        <w:lastRenderedPageBreak/>
        <w:t xml:space="preserve">Researchers have sought to provide evidence and plausible answers to the questions proposed by Hendrickson (1978) but they have not yet been successful in drawing a clear picture of different aspects of CF. These five questions on CF have been the basis for most of the ongoing studies in this field. According to Hendrickson (1978), CF generally should aim at answering the following questions:  </w:t>
      </w:r>
    </w:p>
    <w:p w:rsidR="00A63160" w:rsidRPr="00027D49" w:rsidRDefault="00A63160" w:rsidP="008317AF">
      <w:pPr>
        <w:pStyle w:val="ListParagraph"/>
        <w:numPr>
          <w:ilvl w:val="0"/>
          <w:numId w:val="44"/>
        </w:numPr>
        <w:spacing w:before="60" w:after="60"/>
        <w:contextualSpacing w:val="0"/>
      </w:pPr>
      <w:r w:rsidRPr="00027D49">
        <w:t>Should learner errors be corrected?</w:t>
      </w:r>
    </w:p>
    <w:p w:rsidR="00A63160" w:rsidRPr="00027D49" w:rsidRDefault="00A63160" w:rsidP="008317AF">
      <w:pPr>
        <w:pStyle w:val="ListParagraph"/>
        <w:numPr>
          <w:ilvl w:val="0"/>
          <w:numId w:val="44"/>
        </w:numPr>
        <w:spacing w:before="60" w:after="60"/>
        <w:contextualSpacing w:val="0"/>
      </w:pPr>
      <w:r w:rsidRPr="00027D49">
        <w:t>If so, when should learner errors be corrected?</w:t>
      </w:r>
    </w:p>
    <w:p w:rsidR="00A63160" w:rsidRPr="00027D49" w:rsidRDefault="00A63160" w:rsidP="008317AF">
      <w:pPr>
        <w:pStyle w:val="ListParagraph"/>
        <w:numPr>
          <w:ilvl w:val="0"/>
          <w:numId w:val="44"/>
        </w:numPr>
        <w:spacing w:before="60" w:after="60"/>
        <w:contextualSpacing w:val="0"/>
      </w:pPr>
      <w:r w:rsidRPr="00027D49">
        <w:t>Which learner errors should be corrected?</w:t>
      </w:r>
    </w:p>
    <w:p w:rsidR="00A63160" w:rsidRPr="00027D49" w:rsidRDefault="00A63160" w:rsidP="008317AF">
      <w:pPr>
        <w:pStyle w:val="ListParagraph"/>
        <w:numPr>
          <w:ilvl w:val="0"/>
          <w:numId w:val="44"/>
        </w:numPr>
        <w:spacing w:before="60" w:after="60"/>
        <w:contextualSpacing w:val="0"/>
      </w:pPr>
      <w:r w:rsidRPr="00027D49">
        <w:t>How should learner errors be corrected?</w:t>
      </w:r>
    </w:p>
    <w:p w:rsidR="00A63160" w:rsidRDefault="00A63160" w:rsidP="008317AF">
      <w:pPr>
        <w:pStyle w:val="ListParagraph"/>
        <w:numPr>
          <w:ilvl w:val="0"/>
          <w:numId w:val="44"/>
        </w:numPr>
        <w:spacing w:before="60" w:after="60"/>
        <w:contextualSpacing w:val="0"/>
        <w:rPr>
          <w:rtl/>
        </w:rPr>
      </w:pPr>
      <w:r w:rsidRPr="00027D49">
        <w:t xml:space="preserve">Who should correct learner errors?” (p. 389) </w:t>
      </w:r>
    </w:p>
    <w:p w:rsidR="00A63160" w:rsidRDefault="00A63160" w:rsidP="00A63160">
      <w:pPr>
        <w:rPr>
          <w:rtl/>
        </w:rPr>
      </w:pPr>
      <w:r w:rsidRPr="00027D49">
        <w:t>Therefore, corrective feedback provides interested educators and researchers with many aspects for further investigation resulting in a great deal of contribution to the field of language learning and teaching</w:t>
      </w:r>
      <w:r>
        <w:t>.</w:t>
      </w:r>
    </w:p>
    <w:p w:rsidR="00A63160" w:rsidRPr="00CB408B" w:rsidRDefault="00A63160" w:rsidP="00A63160">
      <w:pPr>
        <w:rPr>
          <w:b/>
          <w:bCs/>
          <w:sz w:val="20"/>
        </w:rPr>
      </w:pPr>
    </w:p>
    <w:p w:rsidR="00A63160" w:rsidRPr="00A63160" w:rsidRDefault="00A63160" w:rsidP="00A63160">
      <w:pPr>
        <w:pStyle w:val="Heading3"/>
      </w:pPr>
      <w:r w:rsidRPr="00A63160">
        <w:t>References</w:t>
      </w:r>
    </w:p>
    <w:p w:rsidR="00A63160" w:rsidRPr="00A63160" w:rsidRDefault="00A63160" w:rsidP="00A63160">
      <w:pPr>
        <w:ind w:left="720" w:hanging="720"/>
        <w:rPr>
          <w:color w:val="000000"/>
          <w:sz w:val="20"/>
          <w:rtl/>
          <w:lang w:bidi="fa-IR"/>
        </w:rPr>
      </w:pPr>
      <w:r w:rsidRPr="00A63160">
        <w:rPr>
          <w:sz w:val="20"/>
        </w:rPr>
        <w:t>Ammar, A., &amp; Spada, N. (2006). One size fits all? Recasts, prompts, and L2</w:t>
      </w:r>
      <w:r w:rsidRPr="00A63160">
        <w:rPr>
          <w:sz w:val="20"/>
          <w:rtl/>
          <w:lang w:bidi="fa-IR"/>
        </w:rPr>
        <w:t xml:space="preserve"> </w:t>
      </w:r>
      <w:r w:rsidRPr="00A63160">
        <w:rPr>
          <w:sz w:val="20"/>
        </w:rPr>
        <w:t xml:space="preserve">learning. </w:t>
      </w:r>
      <w:r w:rsidRPr="00A63160">
        <w:rPr>
          <w:i/>
          <w:iCs/>
          <w:sz w:val="20"/>
        </w:rPr>
        <w:t>Studies in</w:t>
      </w:r>
      <w:r w:rsidRPr="00A63160">
        <w:rPr>
          <w:rFonts w:hint="cs"/>
          <w:i/>
          <w:iCs/>
          <w:sz w:val="20"/>
          <w:rtl/>
          <w:lang w:bidi="fa-IR"/>
        </w:rPr>
        <w:t xml:space="preserve"> </w:t>
      </w:r>
      <w:r w:rsidRPr="00A63160">
        <w:rPr>
          <w:i/>
          <w:iCs/>
          <w:sz w:val="20"/>
        </w:rPr>
        <w:t>Second Language Acquisition</w:t>
      </w:r>
      <w:r w:rsidRPr="00A63160">
        <w:rPr>
          <w:sz w:val="20"/>
        </w:rPr>
        <w:t>,</w:t>
      </w:r>
      <w:r w:rsidRPr="00A63160">
        <w:rPr>
          <w:i/>
          <w:iCs/>
          <w:sz w:val="20"/>
        </w:rPr>
        <w:t xml:space="preserve"> 28</w:t>
      </w:r>
      <w:r w:rsidRPr="00A63160">
        <w:rPr>
          <w:sz w:val="20"/>
        </w:rPr>
        <w:t>(4), 543–74.</w:t>
      </w:r>
    </w:p>
    <w:p w:rsidR="00A63160" w:rsidRPr="00A63160" w:rsidRDefault="00A63160" w:rsidP="00A63160">
      <w:pPr>
        <w:ind w:left="720" w:hanging="720"/>
        <w:rPr>
          <w:color w:val="000000"/>
          <w:sz w:val="20"/>
          <w:rtl/>
          <w:lang w:bidi="fa-IR"/>
        </w:rPr>
      </w:pPr>
      <w:r w:rsidRPr="00A63160">
        <w:rPr>
          <w:color w:val="000000"/>
          <w:sz w:val="20"/>
        </w:rPr>
        <w:t>Ancker, W. (2000). Errors and corrective feedback: updated theory and</w:t>
      </w:r>
      <w:r w:rsidRPr="00A63160">
        <w:rPr>
          <w:sz w:val="20"/>
          <w:rtl/>
          <w:lang w:bidi="fa-IR"/>
        </w:rPr>
        <w:t xml:space="preserve"> </w:t>
      </w:r>
      <w:r w:rsidRPr="00A63160">
        <w:rPr>
          <w:sz w:val="20"/>
        </w:rPr>
        <w:t>classroom practice.</w:t>
      </w:r>
      <w:r w:rsidRPr="00A63160">
        <w:rPr>
          <w:rFonts w:hint="cs"/>
          <w:sz w:val="20"/>
          <w:rtl/>
        </w:rPr>
        <w:t xml:space="preserve"> </w:t>
      </w:r>
      <w:r w:rsidRPr="00A63160">
        <w:rPr>
          <w:i/>
          <w:iCs/>
          <w:sz w:val="20"/>
        </w:rPr>
        <w:t>Forum</w:t>
      </w:r>
      <w:r w:rsidRPr="00A63160">
        <w:rPr>
          <w:sz w:val="20"/>
        </w:rPr>
        <w:t xml:space="preserve">, </w:t>
      </w:r>
      <w:r w:rsidRPr="00A63160">
        <w:rPr>
          <w:i/>
          <w:iCs/>
          <w:sz w:val="20"/>
        </w:rPr>
        <w:t>38</w:t>
      </w:r>
      <w:r w:rsidRPr="00A63160">
        <w:rPr>
          <w:sz w:val="20"/>
        </w:rPr>
        <w:t xml:space="preserve"> (4), 20–28. Retrieved June 21, 2007 from</w:t>
      </w:r>
      <w:r w:rsidRPr="00A63160">
        <w:rPr>
          <w:sz w:val="20"/>
          <w:rtl/>
          <w:lang w:bidi="fa-IR"/>
        </w:rPr>
        <w:t xml:space="preserve"> </w:t>
      </w:r>
      <w:hyperlink r:id="rId21" w:history="1">
        <w:r w:rsidRPr="00A63160">
          <w:rPr>
            <w:rStyle w:val="Hyperlink"/>
            <w:rFonts w:asciiTheme="majorBidi" w:hAnsiTheme="majorBidi" w:cstheme="majorBidi"/>
            <w:sz w:val="20"/>
          </w:rPr>
          <w:t>http://exchanges.state.gov/forum/vols/vol38/no4/p20.htm</w:t>
        </w:r>
      </w:hyperlink>
    </w:p>
    <w:p w:rsidR="00A63160" w:rsidRPr="00A63160" w:rsidRDefault="00A63160" w:rsidP="00A63160">
      <w:pPr>
        <w:ind w:left="720" w:hanging="720"/>
        <w:rPr>
          <w:sz w:val="20"/>
          <w:rtl/>
          <w:lang w:bidi="fa-IR"/>
        </w:rPr>
      </w:pPr>
      <w:r w:rsidRPr="00A63160">
        <w:rPr>
          <w:sz w:val="20"/>
        </w:rPr>
        <w:t xml:space="preserve">Ashwell, T. (2000). Patterns of teacher response to student writing in a multiple-draft composition classroom: Is content feedback followed by form feedback the best method? </w:t>
      </w:r>
      <w:r w:rsidRPr="00A63160">
        <w:rPr>
          <w:i/>
          <w:iCs/>
          <w:sz w:val="20"/>
        </w:rPr>
        <w:t>Journal of Second Language Writing</w:t>
      </w:r>
      <w:r w:rsidRPr="00A63160">
        <w:rPr>
          <w:sz w:val="20"/>
        </w:rPr>
        <w:t xml:space="preserve">, </w:t>
      </w:r>
      <w:r w:rsidRPr="00A63160">
        <w:rPr>
          <w:i/>
          <w:iCs/>
          <w:sz w:val="20"/>
          <w:rtl/>
          <w:lang w:bidi="fa-IR"/>
        </w:rPr>
        <w:t>9</w:t>
      </w:r>
      <w:r w:rsidRPr="00A63160">
        <w:rPr>
          <w:sz w:val="20"/>
        </w:rPr>
        <w:t>(3), 227–258.</w:t>
      </w:r>
    </w:p>
    <w:p w:rsidR="00A63160" w:rsidRPr="00A63160" w:rsidRDefault="00A63160" w:rsidP="00A63160">
      <w:pPr>
        <w:ind w:left="720" w:hanging="720"/>
        <w:rPr>
          <w:sz w:val="20"/>
          <w:rtl/>
        </w:rPr>
      </w:pPr>
      <w:r w:rsidRPr="00A63160">
        <w:rPr>
          <w:sz w:val="20"/>
        </w:rPr>
        <w:t>Bangs, P. (2002)</w:t>
      </w:r>
      <w:r w:rsidRPr="00A63160">
        <w:rPr>
          <w:sz w:val="20"/>
          <w:rtl/>
        </w:rPr>
        <w:t>.</w:t>
      </w:r>
      <w:r w:rsidRPr="00A63160">
        <w:rPr>
          <w:sz w:val="20"/>
        </w:rPr>
        <w:t xml:space="preserve"> Why is feedback dying of starvation? Let’s try to revive it…</w:t>
      </w:r>
      <w:r w:rsidRPr="00A63160">
        <w:rPr>
          <w:sz w:val="20"/>
          <w:rtl/>
          <w:lang w:bidi="fa-IR"/>
        </w:rPr>
        <w:t xml:space="preserve"> </w:t>
      </w:r>
      <w:r w:rsidRPr="00A63160">
        <w:rPr>
          <w:i/>
          <w:iCs/>
          <w:sz w:val="20"/>
        </w:rPr>
        <w:t>EUROCALL 2002</w:t>
      </w:r>
      <w:r w:rsidRPr="00A63160">
        <w:rPr>
          <w:sz w:val="20"/>
        </w:rPr>
        <w:t>. Jyväskylä, Finland.</w:t>
      </w:r>
    </w:p>
    <w:p w:rsidR="00A63160" w:rsidRPr="00A63160" w:rsidRDefault="00A63160" w:rsidP="00A63160">
      <w:pPr>
        <w:ind w:left="720" w:hanging="720"/>
        <w:rPr>
          <w:sz w:val="20"/>
          <w:rtl/>
          <w:lang w:bidi="fa-IR"/>
        </w:rPr>
      </w:pPr>
      <w:r w:rsidRPr="00A63160">
        <w:rPr>
          <w:sz w:val="20"/>
        </w:rPr>
        <w:t xml:space="preserve">Barnes, S. (2002). </w:t>
      </w:r>
      <w:r w:rsidRPr="00A63160">
        <w:rPr>
          <w:i/>
          <w:iCs/>
          <w:sz w:val="20"/>
        </w:rPr>
        <w:t>Computer-Mediated Communication</w:t>
      </w:r>
      <w:r w:rsidRPr="00A63160">
        <w:rPr>
          <w:sz w:val="20"/>
        </w:rPr>
        <w:t>. Boston, USA: Pearson</w:t>
      </w:r>
      <w:r w:rsidRPr="00A63160">
        <w:rPr>
          <w:sz w:val="20"/>
          <w:rtl/>
          <w:lang w:bidi="fa-IR"/>
        </w:rPr>
        <w:t xml:space="preserve"> </w:t>
      </w:r>
      <w:r w:rsidRPr="00A63160">
        <w:rPr>
          <w:sz w:val="20"/>
        </w:rPr>
        <w:t>Publication.</w:t>
      </w:r>
    </w:p>
    <w:p w:rsidR="00A63160" w:rsidRPr="00A63160" w:rsidRDefault="00A63160" w:rsidP="00A63160">
      <w:pPr>
        <w:ind w:left="720" w:hanging="720"/>
        <w:rPr>
          <w:sz w:val="20"/>
          <w:rtl/>
          <w:lang w:bidi="fa-IR"/>
        </w:rPr>
      </w:pPr>
      <w:r w:rsidRPr="00A63160">
        <w:rPr>
          <w:sz w:val="20"/>
        </w:rPr>
        <w:t xml:space="preserve">Bitchener, J. (2008). Evidence in support of written corrective feedback. </w:t>
      </w:r>
      <w:r w:rsidRPr="00A63160">
        <w:rPr>
          <w:i/>
          <w:iCs/>
          <w:sz w:val="20"/>
        </w:rPr>
        <w:t>Journal</w:t>
      </w:r>
      <w:r w:rsidRPr="00A63160">
        <w:rPr>
          <w:i/>
          <w:iCs/>
          <w:sz w:val="20"/>
          <w:rtl/>
        </w:rPr>
        <w:t xml:space="preserve"> </w:t>
      </w:r>
      <w:r w:rsidRPr="00A63160">
        <w:rPr>
          <w:i/>
          <w:iCs/>
          <w:sz w:val="20"/>
        </w:rPr>
        <w:t>of Second</w:t>
      </w:r>
      <w:r w:rsidRPr="00A63160">
        <w:rPr>
          <w:i/>
          <w:iCs/>
          <w:sz w:val="20"/>
          <w:rtl/>
          <w:lang w:bidi="fa-IR"/>
        </w:rPr>
        <w:t xml:space="preserve"> </w:t>
      </w:r>
      <w:r w:rsidRPr="00A63160">
        <w:rPr>
          <w:i/>
          <w:iCs/>
          <w:sz w:val="20"/>
        </w:rPr>
        <w:t>Language Writing</w:t>
      </w:r>
      <w:r w:rsidRPr="00A63160">
        <w:rPr>
          <w:sz w:val="20"/>
        </w:rPr>
        <w:t xml:space="preserve">, </w:t>
      </w:r>
      <w:r w:rsidRPr="00A63160">
        <w:rPr>
          <w:i/>
          <w:iCs/>
          <w:sz w:val="20"/>
        </w:rPr>
        <w:t>17</w:t>
      </w:r>
      <w:r w:rsidRPr="00A63160">
        <w:rPr>
          <w:sz w:val="20"/>
        </w:rPr>
        <w:t>(2), 102–118</w:t>
      </w:r>
      <w:r w:rsidRPr="00A63160">
        <w:rPr>
          <w:sz w:val="20"/>
          <w:rtl/>
        </w:rPr>
        <w:t>.</w:t>
      </w:r>
    </w:p>
    <w:p w:rsidR="00A63160" w:rsidRPr="00A63160" w:rsidRDefault="00A63160" w:rsidP="00A63160">
      <w:pPr>
        <w:ind w:left="720" w:hanging="720"/>
        <w:rPr>
          <w:sz w:val="20"/>
          <w:rtl/>
          <w:lang w:bidi="fa-IR"/>
        </w:rPr>
      </w:pPr>
      <w:r w:rsidRPr="00A63160">
        <w:rPr>
          <w:color w:val="000000"/>
          <w:sz w:val="20"/>
        </w:rPr>
        <w:t>Bitchener, J., Young, S., &amp; Cameron, D. (2005). The effect of different types of</w:t>
      </w:r>
      <w:r w:rsidRPr="00A63160">
        <w:rPr>
          <w:color w:val="000000"/>
          <w:sz w:val="20"/>
          <w:rtl/>
          <w:lang w:bidi="fa-IR"/>
        </w:rPr>
        <w:t xml:space="preserve"> </w:t>
      </w:r>
      <w:r w:rsidRPr="00A63160">
        <w:rPr>
          <w:color w:val="000000"/>
          <w:sz w:val="20"/>
        </w:rPr>
        <w:t xml:space="preserve">corrective feedback on ESL student writing. </w:t>
      </w:r>
      <w:r w:rsidRPr="00A63160">
        <w:rPr>
          <w:i/>
          <w:iCs/>
          <w:color w:val="000000"/>
          <w:sz w:val="20"/>
        </w:rPr>
        <w:t>Journal of Second Language</w:t>
      </w:r>
      <w:r w:rsidRPr="00A63160">
        <w:rPr>
          <w:i/>
          <w:iCs/>
          <w:color w:val="000000"/>
          <w:sz w:val="20"/>
          <w:rtl/>
        </w:rPr>
        <w:t xml:space="preserve"> </w:t>
      </w:r>
      <w:r w:rsidRPr="00A63160">
        <w:rPr>
          <w:i/>
          <w:iCs/>
          <w:color w:val="000000"/>
          <w:sz w:val="20"/>
        </w:rPr>
        <w:t>Writing</w:t>
      </w:r>
      <w:r w:rsidRPr="00A63160">
        <w:rPr>
          <w:color w:val="000000"/>
          <w:sz w:val="20"/>
        </w:rPr>
        <w:t xml:space="preserve">, </w:t>
      </w:r>
      <w:r w:rsidRPr="00A63160">
        <w:rPr>
          <w:i/>
          <w:iCs/>
          <w:color w:val="000000"/>
          <w:sz w:val="20"/>
        </w:rPr>
        <w:t>14</w:t>
      </w:r>
      <w:r w:rsidRPr="00A63160">
        <w:rPr>
          <w:color w:val="000000"/>
          <w:sz w:val="20"/>
        </w:rPr>
        <w:t>(3), 191</w:t>
      </w:r>
      <w:r w:rsidRPr="00A63160">
        <w:rPr>
          <w:sz w:val="20"/>
        </w:rPr>
        <w:t>–</w:t>
      </w:r>
      <w:r w:rsidRPr="00A63160">
        <w:rPr>
          <w:color w:val="000000"/>
          <w:sz w:val="20"/>
        </w:rPr>
        <w:t>205.</w:t>
      </w:r>
    </w:p>
    <w:p w:rsidR="00A63160" w:rsidRPr="00A63160" w:rsidRDefault="00A63160" w:rsidP="00A63160">
      <w:pPr>
        <w:ind w:left="720" w:hanging="720"/>
        <w:rPr>
          <w:sz w:val="20"/>
          <w:rtl/>
          <w:lang w:bidi="fa-IR"/>
        </w:rPr>
      </w:pPr>
      <w:r w:rsidRPr="00A63160">
        <w:rPr>
          <w:sz w:val="20"/>
        </w:rPr>
        <w:t>Bitchener, J., &amp; Knoch, U. (2008). The value of a focused approach to written</w:t>
      </w:r>
      <w:r w:rsidRPr="00A63160">
        <w:rPr>
          <w:sz w:val="20"/>
          <w:rtl/>
        </w:rPr>
        <w:t xml:space="preserve"> </w:t>
      </w:r>
      <w:r w:rsidRPr="00A63160">
        <w:rPr>
          <w:sz w:val="20"/>
        </w:rPr>
        <w:t>corrective</w:t>
      </w:r>
      <w:r w:rsidRPr="00A63160">
        <w:rPr>
          <w:sz w:val="20"/>
          <w:lang w:bidi="fa-IR"/>
        </w:rPr>
        <w:t xml:space="preserve"> </w:t>
      </w:r>
      <w:r w:rsidRPr="00A63160">
        <w:rPr>
          <w:sz w:val="20"/>
        </w:rPr>
        <w:t xml:space="preserve">feedback. </w:t>
      </w:r>
      <w:r w:rsidRPr="00A63160">
        <w:rPr>
          <w:i/>
          <w:iCs/>
          <w:sz w:val="20"/>
        </w:rPr>
        <w:t>ELT Journal</w:t>
      </w:r>
      <w:r w:rsidRPr="00A63160">
        <w:rPr>
          <w:sz w:val="20"/>
        </w:rPr>
        <w:t xml:space="preserve">, </w:t>
      </w:r>
      <w:r w:rsidRPr="00A63160">
        <w:rPr>
          <w:i/>
          <w:iCs/>
          <w:sz w:val="20"/>
        </w:rPr>
        <w:t>63</w:t>
      </w:r>
      <w:r w:rsidRPr="00A63160">
        <w:rPr>
          <w:sz w:val="20"/>
        </w:rPr>
        <w:t>(3), 204–211.</w:t>
      </w:r>
    </w:p>
    <w:p w:rsidR="00A63160" w:rsidRPr="00A63160" w:rsidRDefault="00A63160" w:rsidP="00A63160">
      <w:pPr>
        <w:ind w:left="720" w:hanging="720"/>
        <w:rPr>
          <w:sz w:val="20"/>
          <w:rtl/>
          <w:lang w:bidi="fa-IR"/>
        </w:rPr>
      </w:pPr>
      <w:r w:rsidRPr="00A63160">
        <w:rPr>
          <w:sz w:val="20"/>
        </w:rPr>
        <w:t>Bitchener, J., &amp; Knoch, U. (2009). The relative effectiveness of different types of</w:t>
      </w:r>
      <w:r w:rsidRPr="00A63160">
        <w:rPr>
          <w:sz w:val="20"/>
          <w:rtl/>
        </w:rPr>
        <w:t xml:space="preserve"> </w:t>
      </w:r>
      <w:r w:rsidRPr="00A63160">
        <w:rPr>
          <w:sz w:val="20"/>
        </w:rPr>
        <w:t>direct written</w:t>
      </w:r>
      <w:r w:rsidRPr="00A63160">
        <w:rPr>
          <w:sz w:val="20"/>
          <w:rtl/>
          <w:lang w:bidi="fa-IR"/>
        </w:rPr>
        <w:t xml:space="preserve"> </w:t>
      </w:r>
      <w:r w:rsidRPr="00A63160">
        <w:rPr>
          <w:sz w:val="20"/>
        </w:rPr>
        <w:t xml:space="preserve">corrective feedback. </w:t>
      </w:r>
      <w:r w:rsidRPr="00A63160">
        <w:rPr>
          <w:i/>
          <w:iCs/>
          <w:sz w:val="20"/>
        </w:rPr>
        <w:t>System</w:t>
      </w:r>
      <w:r w:rsidRPr="00A63160">
        <w:rPr>
          <w:sz w:val="20"/>
        </w:rPr>
        <w:t xml:space="preserve">, </w:t>
      </w:r>
      <w:r w:rsidRPr="00A63160">
        <w:rPr>
          <w:i/>
          <w:iCs/>
          <w:sz w:val="20"/>
        </w:rPr>
        <w:t>37</w:t>
      </w:r>
      <w:r w:rsidRPr="00A63160">
        <w:rPr>
          <w:sz w:val="20"/>
        </w:rPr>
        <w:t>(2), 322–329.</w:t>
      </w:r>
    </w:p>
    <w:p w:rsidR="00A63160" w:rsidRPr="00A63160" w:rsidRDefault="00A63160" w:rsidP="00A63160">
      <w:pPr>
        <w:ind w:left="720" w:hanging="720"/>
        <w:rPr>
          <w:color w:val="000000"/>
          <w:sz w:val="20"/>
          <w:rtl/>
          <w:lang w:bidi="fa-IR"/>
        </w:rPr>
      </w:pPr>
      <w:r w:rsidRPr="00A63160">
        <w:rPr>
          <w:sz w:val="20"/>
        </w:rPr>
        <w:t>Campillo</w:t>
      </w:r>
      <w:r w:rsidRPr="00A63160">
        <w:rPr>
          <w:color w:val="000000"/>
          <w:sz w:val="20"/>
        </w:rPr>
        <w:t>, P. S. (2003). An Analysis of Implicit and Explicit Feedback on</w:t>
      </w:r>
      <w:r w:rsidRPr="00A63160">
        <w:rPr>
          <w:color w:val="000000"/>
          <w:sz w:val="20"/>
          <w:rtl/>
          <w:lang w:bidi="fa-IR"/>
        </w:rPr>
        <w:t xml:space="preserve"> </w:t>
      </w:r>
      <w:r w:rsidRPr="00A63160">
        <w:rPr>
          <w:color w:val="000000"/>
          <w:sz w:val="20"/>
        </w:rPr>
        <w:t xml:space="preserve">Grammatical Accuracy. </w:t>
      </w:r>
      <w:r w:rsidRPr="00A63160">
        <w:rPr>
          <w:i/>
          <w:iCs/>
          <w:color w:val="000000"/>
          <w:sz w:val="20"/>
        </w:rPr>
        <w:t>Journal of English and American Studies</w:t>
      </w:r>
      <w:r w:rsidRPr="00A63160">
        <w:rPr>
          <w:color w:val="000000"/>
          <w:sz w:val="20"/>
        </w:rPr>
        <w:t xml:space="preserve">, </w:t>
      </w:r>
      <w:r w:rsidRPr="00A63160">
        <w:rPr>
          <w:i/>
          <w:iCs/>
          <w:color w:val="000000"/>
          <w:sz w:val="20"/>
        </w:rPr>
        <w:t>27</w:t>
      </w:r>
      <w:r w:rsidRPr="00A63160">
        <w:rPr>
          <w:color w:val="000000"/>
          <w:sz w:val="20"/>
        </w:rPr>
        <w:t>, 209</w:t>
      </w:r>
      <w:r w:rsidRPr="00A63160">
        <w:rPr>
          <w:sz w:val="20"/>
        </w:rPr>
        <w:t>–</w:t>
      </w:r>
      <w:r w:rsidRPr="00A63160">
        <w:rPr>
          <w:color w:val="000000"/>
          <w:sz w:val="20"/>
        </w:rPr>
        <w:t>228.</w:t>
      </w:r>
    </w:p>
    <w:p w:rsidR="00A63160" w:rsidRPr="00A63160" w:rsidRDefault="00A63160" w:rsidP="00A63160">
      <w:pPr>
        <w:ind w:left="720" w:hanging="720"/>
        <w:rPr>
          <w:sz w:val="20"/>
        </w:rPr>
      </w:pPr>
      <w:r w:rsidRPr="00A63160">
        <w:rPr>
          <w:sz w:val="20"/>
        </w:rPr>
        <w:t>Carpenter, H., Jeon, K. S., MacGregor, D., &amp; Mackey, A. (2006). Learners' interpretations of recasts. Studies in Second Language Acquisition, 28 (2),</w:t>
      </w:r>
      <w:r w:rsidRPr="00A63160">
        <w:rPr>
          <w:sz w:val="20"/>
          <w:rtl/>
        </w:rPr>
        <w:t xml:space="preserve"> </w:t>
      </w:r>
      <w:r w:rsidRPr="00A63160">
        <w:rPr>
          <w:sz w:val="20"/>
        </w:rPr>
        <w:t>209–236.</w:t>
      </w:r>
    </w:p>
    <w:p w:rsidR="00A63160" w:rsidRPr="00A63160" w:rsidRDefault="00A63160" w:rsidP="00A63160">
      <w:pPr>
        <w:ind w:left="720" w:hanging="720"/>
        <w:rPr>
          <w:sz w:val="20"/>
          <w:rtl/>
          <w:lang w:bidi="fa-IR"/>
        </w:rPr>
      </w:pPr>
      <w:r w:rsidRPr="00A63160">
        <w:rPr>
          <w:sz w:val="20"/>
        </w:rPr>
        <w:t xml:space="preserve">Castañeda, M. E. (2005). </w:t>
      </w:r>
      <w:r w:rsidRPr="00A63160">
        <w:rPr>
          <w:i/>
          <w:iCs/>
          <w:sz w:val="20"/>
        </w:rPr>
        <w:t>Corrective feedback in online asynchronous and</w:t>
      </w:r>
      <w:r w:rsidRPr="00A63160">
        <w:rPr>
          <w:i/>
          <w:iCs/>
          <w:sz w:val="20"/>
          <w:rtl/>
          <w:lang w:bidi="fa-IR"/>
        </w:rPr>
        <w:t xml:space="preserve"> </w:t>
      </w:r>
      <w:r w:rsidRPr="00A63160">
        <w:rPr>
          <w:i/>
          <w:iCs/>
          <w:sz w:val="20"/>
        </w:rPr>
        <w:t>synchronous environments in Spanish as a Foreign Language (SFL)</w:t>
      </w:r>
      <w:r w:rsidRPr="00A63160">
        <w:rPr>
          <w:i/>
          <w:iCs/>
          <w:sz w:val="20"/>
          <w:rtl/>
        </w:rPr>
        <w:t xml:space="preserve"> </w:t>
      </w:r>
      <w:r w:rsidRPr="00A63160">
        <w:rPr>
          <w:i/>
          <w:iCs/>
          <w:sz w:val="20"/>
        </w:rPr>
        <w:t xml:space="preserve">classes. </w:t>
      </w:r>
      <w:r w:rsidRPr="00A63160">
        <w:rPr>
          <w:sz w:val="20"/>
        </w:rPr>
        <w:t>Unpublished Dissertation, University of South Florida, Tampa.</w:t>
      </w:r>
    </w:p>
    <w:p w:rsidR="00A63160" w:rsidRPr="00A63160" w:rsidRDefault="00A63160" w:rsidP="00A63160">
      <w:pPr>
        <w:ind w:left="720" w:hanging="720"/>
        <w:rPr>
          <w:sz w:val="20"/>
          <w:rtl/>
          <w:lang w:bidi="fa-IR"/>
        </w:rPr>
      </w:pPr>
      <w:r w:rsidRPr="00A63160">
        <w:rPr>
          <w:sz w:val="20"/>
        </w:rPr>
        <w:t xml:space="preserve">Chandler, J. (2003). The efficacy of various kinds of error feedback for improvement in the accuracy and fluency of L2student writing. </w:t>
      </w:r>
      <w:r w:rsidRPr="00A63160">
        <w:rPr>
          <w:i/>
          <w:iCs/>
          <w:sz w:val="20"/>
        </w:rPr>
        <w:t>Journal of</w:t>
      </w:r>
      <w:r w:rsidRPr="00A63160">
        <w:rPr>
          <w:i/>
          <w:iCs/>
          <w:sz w:val="20"/>
          <w:rtl/>
        </w:rPr>
        <w:t xml:space="preserve"> </w:t>
      </w:r>
      <w:r w:rsidRPr="00A63160">
        <w:rPr>
          <w:i/>
          <w:iCs/>
          <w:sz w:val="20"/>
        </w:rPr>
        <w:t>Second</w:t>
      </w:r>
      <w:r w:rsidRPr="00A63160">
        <w:rPr>
          <w:i/>
          <w:iCs/>
          <w:sz w:val="20"/>
          <w:rtl/>
          <w:lang w:bidi="fa-IR"/>
        </w:rPr>
        <w:t xml:space="preserve"> </w:t>
      </w:r>
      <w:r w:rsidRPr="00A63160">
        <w:rPr>
          <w:i/>
          <w:iCs/>
          <w:sz w:val="20"/>
        </w:rPr>
        <w:t>Language Writing</w:t>
      </w:r>
      <w:r w:rsidRPr="00A63160">
        <w:rPr>
          <w:sz w:val="20"/>
        </w:rPr>
        <w:t>,</w:t>
      </w:r>
      <w:r w:rsidRPr="00A63160">
        <w:rPr>
          <w:i/>
          <w:iCs/>
          <w:sz w:val="20"/>
        </w:rPr>
        <w:t xml:space="preserve"> 12</w:t>
      </w:r>
      <w:r w:rsidRPr="00A63160">
        <w:rPr>
          <w:sz w:val="20"/>
        </w:rPr>
        <w:t>(3), 267</w:t>
      </w:r>
      <w:r w:rsidRPr="00A63160">
        <w:rPr>
          <w:color w:val="292526"/>
          <w:sz w:val="20"/>
        </w:rPr>
        <w:t>–</w:t>
      </w:r>
      <w:r w:rsidRPr="00A63160">
        <w:rPr>
          <w:sz w:val="20"/>
        </w:rPr>
        <w:t>296.</w:t>
      </w:r>
    </w:p>
    <w:p w:rsidR="00A63160" w:rsidRPr="00A63160" w:rsidRDefault="00A63160" w:rsidP="00A63160">
      <w:pPr>
        <w:ind w:left="720" w:hanging="720"/>
        <w:rPr>
          <w:color w:val="292526"/>
          <w:sz w:val="20"/>
        </w:rPr>
      </w:pPr>
      <w:r w:rsidRPr="00A63160">
        <w:rPr>
          <w:sz w:val="20"/>
        </w:rPr>
        <w:t>Clariana, R. B. (1992). The effects of different feedback strategies using computer-</w:t>
      </w:r>
      <w:r w:rsidRPr="00A63160">
        <w:rPr>
          <w:sz w:val="20"/>
          <w:rtl/>
          <w:lang w:bidi="fa-IR"/>
        </w:rPr>
        <w:t xml:space="preserve"> </w:t>
      </w:r>
      <w:r w:rsidRPr="00A63160">
        <w:rPr>
          <w:sz w:val="20"/>
        </w:rPr>
        <w:t xml:space="preserve">administered multiple-choice questions as instruction. </w:t>
      </w:r>
      <w:r w:rsidRPr="00A63160">
        <w:rPr>
          <w:i/>
          <w:iCs/>
          <w:sz w:val="20"/>
        </w:rPr>
        <w:t>Proceedings of</w:t>
      </w:r>
      <w:r w:rsidRPr="00A63160">
        <w:rPr>
          <w:i/>
          <w:iCs/>
          <w:sz w:val="20"/>
          <w:rtl/>
        </w:rPr>
        <w:t xml:space="preserve"> </w:t>
      </w:r>
      <w:r w:rsidRPr="00A63160">
        <w:rPr>
          <w:i/>
          <w:iCs/>
          <w:sz w:val="20"/>
        </w:rPr>
        <w:t xml:space="preserve">Selected Research and Development Presentations </w:t>
      </w:r>
      <w:r w:rsidRPr="00A63160">
        <w:rPr>
          <w:i/>
          <w:iCs/>
          <w:sz w:val="20"/>
        </w:rPr>
        <w:lastRenderedPageBreak/>
        <w:t>at the Convention of the Association for Educational Communications and Technology</w:t>
      </w:r>
      <w:r w:rsidRPr="00A63160">
        <w:rPr>
          <w:sz w:val="20"/>
          <w:u w:val="single"/>
          <w:rtl/>
        </w:rPr>
        <w:t>.</w:t>
      </w:r>
      <w:r w:rsidRPr="00A63160">
        <w:rPr>
          <w:sz w:val="20"/>
        </w:rPr>
        <w:t xml:space="preserve"> ERIC</w:t>
      </w:r>
      <w:r w:rsidRPr="00A63160">
        <w:rPr>
          <w:sz w:val="20"/>
          <w:rtl/>
        </w:rPr>
        <w:t xml:space="preserve"> </w:t>
      </w:r>
      <w:r w:rsidRPr="00A63160">
        <w:rPr>
          <w:sz w:val="20"/>
        </w:rPr>
        <w:t>Document Reproduction Service No. ED 347 983.</w:t>
      </w:r>
    </w:p>
    <w:p w:rsidR="00A63160" w:rsidRPr="00A63160" w:rsidRDefault="00A63160" w:rsidP="00A63160">
      <w:pPr>
        <w:ind w:left="720" w:hanging="720"/>
        <w:rPr>
          <w:sz w:val="20"/>
        </w:rPr>
      </w:pPr>
      <w:r w:rsidRPr="00A63160">
        <w:rPr>
          <w:sz w:val="20"/>
        </w:rPr>
        <w:t>December, J. (1997). Notes on defining of Computer-Mediated Communication.</w:t>
      </w:r>
      <w:r w:rsidRPr="00A63160">
        <w:rPr>
          <w:sz w:val="20"/>
          <w:rtl/>
          <w:lang w:bidi="fa-IR"/>
        </w:rPr>
        <w:t xml:space="preserve"> </w:t>
      </w:r>
      <w:r w:rsidRPr="00A63160">
        <w:rPr>
          <w:i/>
          <w:iCs/>
          <w:sz w:val="20"/>
        </w:rPr>
        <w:t>Computer-Mediated Communication Magazine, 4</w:t>
      </w:r>
      <w:r w:rsidRPr="00A63160">
        <w:rPr>
          <w:sz w:val="20"/>
        </w:rPr>
        <w:t>(1). Retrieved June 18,</w:t>
      </w:r>
      <w:r w:rsidRPr="00A63160">
        <w:rPr>
          <w:sz w:val="20"/>
          <w:rtl/>
          <w:lang w:bidi="fa-IR"/>
        </w:rPr>
        <w:t xml:space="preserve"> </w:t>
      </w:r>
      <w:r w:rsidRPr="00A63160">
        <w:rPr>
          <w:sz w:val="20"/>
        </w:rPr>
        <w:t xml:space="preserve">2010, from </w:t>
      </w:r>
      <w:hyperlink r:id="rId22" w:history="1">
        <w:r w:rsidRPr="00A63160">
          <w:rPr>
            <w:rStyle w:val="Hyperlink"/>
            <w:rFonts w:asciiTheme="majorBidi" w:hAnsiTheme="majorBidi" w:cstheme="majorBidi"/>
            <w:sz w:val="20"/>
          </w:rPr>
          <w:t>http://www.december.com/cmc/mag/1997/jan/december.html</w:t>
        </w:r>
      </w:hyperlink>
    </w:p>
    <w:p w:rsidR="00A63160" w:rsidRPr="00A63160" w:rsidRDefault="00A63160" w:rsidP="00A63160">
      <w:pPr>
        <w:ind w:left="720" w:hanging="720"/>
        <w:rPr>
          <w:sz w:val="20"/>
        </w:rPr>
      </w:pPr>
      <w:r w:rsidRPr="00A63160">
        <w:rPr>
          <w:sz w:val="20"/>
        </w:rPr>
        <w:t>Doughty, C. (2001). Instructed SLA: Constraints, compensation, and</w:t>
      </w:r>
      <w:r w:rsidRPr="00A63160">
        <w:rPr>
          <w:sz w:val="20"/>
          <w:rtl/>
        </w:rPr>
        <w:t xml:space="preserve"> </w:t>
      </w:r>
      <w:r w:rsidRPr="00A63160">
        <w:rPr>
          <w:sz w:val="20"/>
        </w:rPr>
        <w:t xml:space="preserve">enhancement. </w:t>
      </w:r>
      <w:r w:rsidRPr="00A63160">
        <w:rPr>
          <w:sz w:val="20"/>
          <w:rtl/>
        </w:rPr>
        <w:t xml:space="preserve"> </w:t>
      </w:r>
      <w:r w:rsidRPr="00A63160">
        <w:rPr>
          <w:sz w:val="20"/>
        </w:rPr>
        <w:t>In C. Doughty, &amp; M. Long</w:t>
      </w:r>
      <w:r w:rsidRPr="00A63160">
        <w:rPr>
          <w:sz w:val="20"/>
          <w:rtl/>
          <w:lang w:bidi="fa-IR"/>
        </w:rPr>
        <w:t xml:space="preserve"> </w:t>
      </w:r>
      <w:r w:rsidRPr="00A63160">
        <w:rPr>
          <w:sz w:val="20"/>
        </w:rPr>
        <w:t xml:space="preserve">(Eds.), </w:t>
      </w:r>
      <w:r w:rsidRPr="00A63160">
        <w:rPr>
          <w:i/>
          <w:iCs/>
          <w:sz w:val="20"/>
        </w:rPr>
        <w:t>Handbook of second</w:t>
      </w:r>
      <w:r w:rsidRPr="00A63160">
        <w:rPr>
          <w:i/>
          <w:iCs/>
          <w:sz w:val="20"/>
          <w:rtl/>
        </w:rPr>
        <w:t xml:space="preserve"> </w:t>
      </w:r>
      <w:r w:rsidRPr="00A63160">
        <w:rPr>
          <w:i/>
          <w:iCs/>
          <w:sz w:val="20"/>
        </w:rPr>
        <w:t xml:space="preserve">language acquisition </w:t>
      </w:r>
      <w:r w:rsidRPr="00A63160">
        <w:rPr>
          <w:sz w:val="20"/>
        </w:rPr>
        <w:t>(pp.</w:t>
      </w:r>
      <w:r w:rsidRPr="00A63160">
        <w:rPr>
          <w:sz w:val="20"/>
          <w:rtl/>
        </w:rPr>
        <w:t xml:space="preserve"> </w:t>
      </w:r>
      <w:r w:rsidRPr="00A63160">
        <w:rPr>
          <w:sz w:val="20"/>
        </w:rPr>
        <w:t>256–310). New York: Blackwell.</w:t>
      </w:r>
    </w:p>
    <w:p w:rsidR="00A63160" w:rsidRPr="00A63160" w:rsidRDefault="00A63160" w:rsidP="00A63160">
      <w:pPr>
        <w:ind w:left="720" w:hanging="720"/>
        <w:rPr>
          <w:sz w:val="20"/>
          <w:rtl/>
          <w:lang w:bidi="fa-IR"/>
        </w:rPr>
      </w:pPr>
      <w:r w:rsidRPr="00A63160">
        <w:rPr>
          <w:sz w:val="20"/>
        </w:rPr>
        <w:t xml:space="preserve">Doughty, C., &amp; Varela, E. (1998). Communicative focus on form. In C. Doughty, &amp; J. Williams (Eds.), </w:t>
      </w:r>
      <w:r w:rsidRPr="00A63160">
        <w:rPr>
          <w:i/>
          <w:iCs/>
          <w:sz w:val="20"/>
        </w:rPr>
        <w:t>Focus on</w:t>
      </w:r>
      <w:r w:rsidRPr="00A63160">
        <w:rPr>
          <w:i/>
          <w:iCs/>
          <w:sz w:val="20"/>
          <w:rtl/>
          <w:lang w:bidi="fa-IR"/>
        </w:rPr>
        <w:t xml:space="preserve"> </w:t>
      </w:r>
      <w:r w:rsidRPr="00A63160">
        <w:rPr>
          <w:i/>
          <w:iCs/>
          <w:sz w:val="20"/>
        </w:rPr>
        <w:t>form in classroom second language</w:t>
      </w:r>
      <w:r w:rsidRPr="00A63160">
        <w:rPr>
          <w:i/>
          <w:iCs/>
          <w:sz w:val="20"/>
          <w:rtl/>
        </w:rPr>
        <w:t xml:space="preserve"> </w:t>
      </w:r>
      <w:r w:rsidRPr="00A63160">
        <w:rPr>
          <w:i/>
          <w:iCs/>
          <w:sz w:val="20"/>
        </w:rPr>
        <w:t xml:space="preserve">acquisition </w:t>
      </w:r>
      <w:r w:rsidRPr="00A63160">
        <w:rPr>
          <w:sz w:val="20"/>
        </w:rPr>
        <w:t>(pp. 114–138). Cambridge, UK: Cambridge University Press.</w:t>
      </w:r>
    </w:p>
    <w:p w:rsidR="00A63160" w:rsidRPr="00A63160" w:rsidRDefault="00A63160" w:rsidP="00A63160">
      <w:pPr>
        <w:ind w:left="720" w:hanging="720"/>
        <w:rPr>
          <w:color w:val="221F1F"/>
          <w:sz w:val="20"/>
        </w:rPr>
      </w:pPr>
      <w:r w:rsidRPr="00A63160">
        <w:rPr>
          <w:sz w:val="20"/>
        </w:rPr>
        <w:t xml:space="preserve">Ellis, R. (2009). A typology of written corrective feedback types. </w:t>
      </w:r>
      <w:r w:rsidRPr="00A63160">
        <w:rPr>
          <w:i/>
          <w:iCs/>
          <w:sz w:val="20"/>
        </w:rPr>
        <w:t>ELT Journal,</w:t>
      </w:r>
      <w:r w:rsidRPr="00A63160">
        <w:rPr>
          <w:i/>
          <w:iCs/>
          <w:sz w:val="20"/>
          <w:rtl/>
          <w:lang w:bidi="fa-IR"/>
        </w:rPr>
        <w:t xml:space="preserve"> </w:t>
      </w:r>
      <w:r w:rsidRPr="00A63160">
        <w:rPr>
          <w:i/>
          <w:iCs/>
          <w:sz w:val="20"/>
        </w:rPr>
        <w:t>63</w:t>
      </w:r>
      <w:r w:rsidRPr="00A63160">
        <w:rPr>
          <w:sz w:val="20"/>
        </w:rPr>
        <w:t>(2), 97–107.</w:t>
      </w:r>
    </w:p>
    <w:p w:rsidR="00A63160" w:rsidRPr="00A63160" w:rsidRDefault="00A63160" w:rsidP="00A63160">
      <w:pPr>
        <w:ind w:left="720" w:hanging="720"/>
        <w:rPr>
          <w:sz w:val="20"/>
        </w:rPr>
      </w:pPr>
      <w:r w:rsidRPr="00A63160">
        <w:rPr>
          <w:sz w:val="20"/>
        </w:rPr>
        <w:t>Ellis, R., Loewen, S., &amp; Erlam, R. (2006). Implicit and explicit corrective</w:t>
      </w:r>
      <w:r w:rsidRPr="00A63160">
        <w:rPr>
          <w:sz w:val="20"/>
          <w:rtl/>
        </w:rPr>
        <w:t xml:space="preserve"> </w:t>
      </w:r>
      <w:r w:rsidRPr="00A63160">
        <w:rPr>
          <w:sz w:val="20"/>
        </w:rPr>
        <w:t>feedback</w:t>
      </w:r>
      <w:r w:rsidRPr="00A63160">
        <w:rPr>
          <w:sz w:val="20"/>
          <w:rtl/>
          <w:lang w:bidi="fa-IR"/>
        </w:rPr>
        <w:t xml:space="preserve"> </w:t>
      </w:r>
      <w:r w:rsidRPr="00A63160">
        <w:rPr>
          <w:sz w:val="20"/>
        </w:rPr>
        <w:t xml:space="preserve">and the acquisition of L2 grammar. </w:t>
      </w:r>
      <w:r w:rsidRPr="00A63160">
        <w:rPr>
          <w:i/>
          <w:iCs/>
          <w:sz w:val="20"/>
        </w:rPr>
        <w:t>Studies in Second Language</w:t>
      </w:r>
      <w:r w:rsidRPr="00A63160">
        <w:rPr>
          <w:i/>
          <w:iCs/>
          <w:sz w:val="20"/>
          <w:rtl/>
        </w:rPr>
        <w:t xml:space="preserve"> </w:t>
      </w:r>
      <w:r w:rsidRPr="00A63160">
        <w:rPr>
          <w:i/>
          <w:iCs/>
          <w:sz w:val="20"/>
        </w:rPr>
        <w:t>Acquisition</w:t>
      </w:r>
      <w:r w:rsidRPr="00A63160">
        <w:rPr>
          <w:sz w:val="20"/>
        </w:rPr>
        <w:t>,</w:t>
      </w:r>
      <w:r w:rsidRPr="00A63160">
        <w:rPr>
          <w:i/>
          <w:iCs/>
          <w:sz w:val="20"/>
        </w:rPr>
        <w:t xml:space="preserve"> 28</w:t>
      </w:r>
      <w:r w:rsidRPr="00A63160">
        <w:rPr>
          <w:sz w:val="20"/>
        </w:rPr>
        <w:t>, 339–368.</w:t>
      </w:r>
    </w:p>
    <w:p w:rsidR="00A63160" w:rsidRPr="00A63160" w:rsidRDefault="00A63160" w:rsidP="00A63160">
      <w:pPr>
        <w:ind w:left="720" w:hanging="720"/>
        <w:rPr>
          <w:sz w:val="20"/>
        </w:rPr>
      </w:pPr>
      <w:r w:rsidRPr="00A63160">
        <w:rPr>
          <w:sz w:val="20"/>
        </w:rPr>
        <w:t>Ellis, R., &amp; Sheen, Y. (2006). Reexamining the role of recasts in second language</w:t>
      </w:r>
      <w:r w:rsidRPr="00A63160">
        <w:rPr>
          <w:sz w:val="20"/>
          <w:rtl/>
        </w:rPr>
        <w:t xml:space="preserve"> </w:t>
      </w:r>
      <w:r w:rsidRPr="00A63160">
        <w:rPr>
          <w:sz w:val="20"/>
        </w:rPr>
        <w:t xml:space="preserve">acquisition. </w:t>
      </w:r>
      <w:r w:rsidRPr="00A63160">
        <w:rPr>
          <w:i/>
          <w:iCs/>
          <w:sz w:val="20"/>
        </w:rPr>
        <w:t>Studies in Second</w:t>
      </w:r>
      <w:r w:rsidRPr="00A63160">
        <w:rPr>
          <w:i/>
          <w:iCs/>
          <w:sz w:val="20"/>
          <w:rtl/>
          <w:lang w:bidi="fa-IR"/>
        </w:rPr>
        <w:t xml:space="preserve"> </w:t>
      </w:r>
      <w:r w:rsidRPr="00A63160">
        <w:rPr>
          <w:i/>
          <w:iCs/>
          <w:sz w:val="20"/>
        </w:rPr>
        <w:t>Language Acquisition</w:t>
      </w:r>
      <w:r w:rsidRPr="00A63160">
        <w:rPr>
          <w:sz w:val="20"/>
        </w:rPr>
        <w:t>,</w:t>
      </w:r>
      <w:r w:rsidRPr="00A63160">
        <w:rPr>
          <w:i/>
          <w:iCs/>
          <w:sz w:val="20"/>
        </w:rPr>
        <w:t xml:space="preserve"> 28</w:t>
      </w:r>
      <w:r w:rsidRPr="00A63160">
        <w:rPr>
          <w:sz w:val="20"/>
        </w:rPr>
        <w:t>,</w:t>
      </w:r>
      <w:r w:rsidRPr="00A63160">
        <w:rPr>
          <w:i/>
          <w:iCs/>
          <w:sz w:val="20"/>
        </w:rPr>
        <w:t xml:space="preserve"> </w:t>
      </w:r>
      <w:r w:rsidRPr="00A63160">
        <w:rPr>
          <w:sz w:val="20"/>
        </w:rPr>
        <w:t>575–600.</w:t>
      </w:r>
    </w:p>
    <w:p w:rsidR="00A63160" w:rsidRPr="00A63160" w:rsidRDefault="00A63160" w:rsidP="00A63160">
      <w:pPr>
        <w:ind w:left="720" w:hanging="720"/>
        <w:rPr>
          <w:sz w:val="20"/>
          <w:rtl/>
          <w:lang w:bidi="fa-IR"/>
        </w:rPr>
      </w:pPr>
      <w:r w:rsidRPr="00A63160">
        <w:rPr>
          <w:color w:val="221F1F"/>
          <w:sz w:val="20"/>
        </w:rPr>
        <w:t xml:space="preserve">Erel. S., Bulut, D. (2007). </w:t>
      </w:r>
      <w:r w:rsidRPr="00A63160">
        <w:rPr>
          <w:sz w:val="20"/>
        </w:rPr>
        <w:t>Error Treatment in L2 Writing: A Comparative Study of</w:t>
      </w:r>
      <w:r w:rsidRPr="00A63160">
        <w:rPr>
          <w:sz w:val="20"/>
          <w:rtl/>
          <w:lang w:bidi="fa-IR"/>
        </w:rPr>
        <w:t xml:space="preserve"> </w:t>
      </w:r>
      <w:r w:rsidRPr="00A63160">
        <w:rPr>
          <w:sz w:val="20"/>
        </w:rPr>
        <w:t xml:space="preserve">Direct and Indirect Coded Feedback in Turkish EFL Context. </w:t>
      </w:r>
      <w:r w:rsidRPr="00A63160">
        <w:rPr>
          <w:i/>
          <w:iCs/>
          <w:sz w:val="20"/>
        </w:rPr>
        <w:t>Sosyal</w:t>
      </w:r>
      <w:r w:rsidRPr="00A63160">
        <w:rPr>
          <w:i/>
          <w:iCs/>
          <w:sz w:val="20"/>
          <w:rtl/>
        </w:rPr>
        <w:t xml:space="preserve"> </w:t>
      </w:r>
      <w:r w:rsidRPr="00A63160">
        <w:rPr>
          <w:i/>
          <w:iCs/>
          <w:sz w:val="20"/>
        </w:rPr>
        <w:t>Bilimler Enstitüsü Dergisi Sayı</w:t>
      </w:r>
      <w:r w:rsidRPr="00A63160">
        <w:rPr>
          <w:sz w:val="20"/>
        </w:rPr>
        <w:t xml:space="preserve">, </w:t>
      </w:r>
      <w:r w:rsidRPr="00A63160">
        <w:rPr>
          <w:i/>
          <w:iCs/>
          <w:sz w:val="20"/>
        </w:rPr>
        <w:t>22</w:t>
      </w:r>
      <w:r w:rsidRPr="00A63160">
        <w:rPr>
          <w:sz w:val="20"/>
        </w:rPr>
        <w:t>, 397–415.</w:t>
      </w:r>
    </w:p>
    <w:p w:rsidR="00A63160" w:rsidRPr="00A63160" w:rsidRDefault="00A63160" w:rsidP="00A63160">
      <w:pPr>
        <w:ind w:left="720" w:hanging="720"/>
        <w:rPr>
          <w:color w:val="000000"/>
          <w:sz w:val="20"/>
        </w:rPr>
      </w:pPr>
      <w:r w:rsidRPr="00A63160">
        <w:rPr>
          <w:color w:val="000000"/>
          <w:sz w:val="20"/>
        </w:rPr>
        <w:t xml:space="preserve">Eş, Ş. (2003). </w:t>
      </w:r>
      <w:r w:rsidRPr="00A63160">
        <w:rPr>
          <w:i/>
          <w:iCs/>
          <w:color w:val="000000"/>
          <w:sz w:val="20"/>
        </w:rPr>
        <w:t>Applying Focus on Form in EFL classes: Focus on Form through</w:t>
      </w:r>
      <w:r w:rsidRPr="00A63160">
        <w:rPr>
          <w:i/>
          <w:iCs/>
          <w:color w:val="000000"/>
          <w:sz w:val="20"/>
          <w:rtl/>
          <w:lang w:bidi="fa-IR"/>
        </w:rPr>
        <w:t xml:space="preserve"> </w:t>
      </w:r>
      <w:r w:rsidRPr="00A63160">
        <w:rPr>
          <w:i/>
          <w:iCs/>
          <w:color w:val="000000"/>
          <w:sz w:val="20"/>
        </w:rPr>
        <w:t>Input Flood, Output, and Corrective Feedback</w:t>
      </w:r>
      <w:r w:rsidRPr="00A63160">
        <w:rPr>
          <w:color w:val="000000"/>
          <w:sz w:val="20"/>
        </w:rPr>
        <w:t xml:space="preserve">. Unpublished M.A. Thesis, Anadolu University, Institute of Educational Sciences. </w:t>
      </w:r>
    </w:p>
    <w:p w:rsidR="00A63160" w:rsidRPr="00A63160" w:rsidRDefault="00A63160" w:rsidP="00A63160">
      <w:pPr>
        <w:ind w:left="720" w:hanging="720"/>
        <w:rPr>
          <w:sz w:val="20"/>
        </w:rPr>
      </w:pPr>
      <w:r w:rsidRPr="00A63160">
        <w:rPr>
          <w:sz w:val="20"/>
        </w:rPr>
        <w:t>Farrar, M. J. (1992). Negative evidence and grammatical morpheme acquisition.</w:t>
      </w:r>
      <w:r w:rsidRPr="00A63160">
        <w:rPr>
          <w:sz w:val="20"/>
          <w:rtl/>
        </w:rPr>
        <w:t xml:space="preserve"> </w:t>
      </w:r>
      <w:r w:rsidRPr="00A63160">
        <w:rPr>
          <w:i/>
          <w:iCs/>
          <w:sz w:val="20"/>
        </w:rPr>
        <w:t>Developmental Psychology</w:t>
      </w:r>
      <w:r w:rsidRPr="00A63160">
        <w:rPr>
          <w:sz w:val="20"/>
        </w:rPr>
        <w:t>,</w:t>
      </w:r>
      <w:r w:rsidRPr="00A63160">
        <w:rPr>
          <w:i/>
          <w:iCs/>
          <w:sz w:val="20"/>
        </w:rPr>
        <w:t xml:space="preserve"> 28</w:t>
      </w:r>
      <w:r w:rsidRPr="00A63160">
        <w:rPr>
          <w:sz w:val="20"/>
        </w:rPr>
        <w:t>(1),</w:t>
      </w:r>
      <w:r w:rsidRPr="00A63160">
        <w:rPr>
          <w:i/>
          <w:iCs/>
          <w:sz w:val="20"/>
          <w:rtl/>
          <w:lang w:bidi="fa-IR"/>
        </w:rPr>
        <w:t xml:space="preserve"> </w:t>
      </w:r>
      <w:r w:rsidRPr="00A63160">
        <w:rPr>
          <w:sz w:val="20"/>
        </w:rPr>
        <w:t>90–98.</w:t>
      </w:r>
    </w:p>
    <w:p w:rsidR="00A63160" w:rsidRPr="00A63160" w:rsidRDefault="00A63160" w:rsidP="00A63160">
      <w:pPr>
        <w:ind w:left="720" w:hanging="720"/>
        <w:rPr>
          <w:sz w:val="20"/>
          <w:rtl/>
          <w:lang w:bidi="fa-IR"/>
        </w:rPr>
      </w:pPr>
      <w:r w:rsidRPr="00A63160">
        <w:rPr>
          <w:sz w:val="20"/>
        </w:rPr>
        <w:t>Felix, U. (2002)</w:t>
      </w:r>
      <w:r w:rsidRPr="00A63160">
        <w:rPr>
          <w:sz w:val="20"/>
          <w:rtl/>
        </w:rPr>
        <w:t>.</w:t>
      </w:r>
      <w:r w:rsidRPr="00A63160">
        <w:rPr>
          <w:sz w:val="20"/>
        </w:rPr>
        <w:t xml:space="preserve"> Teaching language online. Deconstructing myths. </w:t>
      </w:r>
      <w:r w:rsidRPr="00A63160">
        <w:rPr>
          <w:i/>
          <w:iCs/>
          <w:sz w:val="20"/>
        </w:rPr>
        <w:t>EUROCALL</w:t>
      </w:r>
      <w:r w:rsidRPr="00A63160">
        <w:rPr>
          <w:i/>
          <w:iCs/>
          <w:sz w:val="20"/>
          <w:rtl/>
        </w:rPr>
        <w:t xml:space="preserve"> </w:t>
      </w:r>
      <w:r w:rsidRPr="00A63160">
        <w:rPr>
          <w:i/>
          <w:iCs/>
          <w:sz w:val="20"/>
        </w:rPr>
        <w:t>Conference, 2002</w:t>
      </w:r>
      <w:r w:rsidRPr="00A63160">
        <w:rPr>
          <w:sz w:val="20"/>
        </w:rPr>
        <w:t>. Jyväskylä, Finland.</w:t>
      </w:r>
    </w:p>
    <w:p w:rsidR="00A63160" w:rsidRPr="00A63160" w:rsidRDefault="00A63160" w:rsidP="00A63160">
      <w:pPr>
        <w:ind w:left="720" w:hanging="720"/>
        <w:rPr>
          <w:rFonts w:eastAsia="UPCELight"/>
          <w:color w:val="231F20"/>
          <w:sz w:val="20"/>
          <w:rtl/>
          <w:lang w:bidi="fa-IR"/>
        </w:rPr>
      </w:pPr>
      <w:r w:rsidRPr="00A63160">
        <w:rPr>
          <w:rFonts w:eastAsia="UPCELight"/>
          <w:color w:val="231F20"/>
          <w:sz w:val="20"/>
        </w:rPr>
        <w:t>Ferris, D. R. (1997). The influence of teacher</w:t>
      </w:r>
      <w:r w:rsidRPr="00A63160">
        <w:rPr>
          <w:rFonts w:eastAsia="UPCELight"/>
          <w:color w:val="231F20"/>
          <w:sz w:val="20"/>
          <w:rtl/>
          <w:lang w:bidi="fa-IR"/>
        </w:rPr>
        <w:t xml:space="preserve"> </w:t>
      </w:r>
      <w:r w:rsidRPr="00A63160">
        <w:rPr>
          <w:rFonts w:eastAsia="UPCELight"/>
          <w:color w:val="231F20"/>
          <w:sz w:val="20"/>
        </w:rPr>
        <w:t xml:space="preserve">commentary on student revision. </w:t>
      </w:r>
      <w:r w:rsidRPr="00A63160">
        <w:rPr>
          <w:rFonts w:eastAsia="UPCELight"/>
          <w:i/>
          <w:iCs/>
          <w:color w:val="231F20"/>
          <w:sz w:val="20"/>
        </w:rPr>
        <w:t>Tesol</w:t>
      </w:r>
      <w:r w:rsidRPr="00A63160">
        <w:rPr>
          <w:rFonts w:eastAsia="UPCELight"/>
          <w:i/>
          <w:iCs/>
          <w:color w:val="231F20"/>
          <w:sz w:val="20"/>
          <w:rtl/>
          <w:lang w:bidi="fa-IR"/>
        </w:rPr>
        <w:t xml:space="preserve"> </w:t>
      </w:r>
      <w:r w:rsidRPr="00A63160">
        <w:rPr>
          <w:rFonts w:eastAsia="UPCELight"/>
          <w:i/>
          <w:iCs/>
          <w:color w:val="231F20"/>
          <w:sz w:val="20"/>
        </w:rPr>
        <w:t>Quarterly</w:t>
      </w:r>
      <w:r w:rsidRPr="00A63160">
        <w:rPr>
          <w:rFonts w:eastAsia="UPCELight"/>
          <w:color w:val="231F20"/>
          <w:sz w:val="20"/>
        </w:rPr>
        <w:t xml:space="preserve">, </w:t>
      </w:r>
      <w:r w:rsidRPr="00A63160">
        <w:rPr>
          <w:rFonts w:eastAsia="UPCELight"/>
          <w:i/>
          <w:iCs/>
          <w:color w:val="231F20"/>
          <w:sz w:val="20"/>
        </w:rPr>
        <w:t>31</w:t>
      </w:r>
      <w:r w:rsidRPr="00A63160">
        <w:rPr>
          <w:rFonts w:eastAsia="UPCELight"/>
          <w:color w:val="231F20"/>
          <w:sz w:val="20"/>
        </w:rPr>
        <w:t>(2), 315</w:t>
      </w:r>
      <w:r w:rsidRPr="00A63160">
        <w:rPr>
          <w:sz w:val="20"/>
        </w:rPr>
        <w:t>–</w:t>
      </w:r>
      <w:r w:rsidRPr="00A63160">
        <w:rPr>
          <w:rFonts w:eastAsia="UPCELight"/>
          <w:color w:val="231F20"/>
          <w:sz w:val="20"/>
        </w:rPr>
        <w:t>339.</w:t>
      </w:r>
    </w:p>
    <w:p w:rsidR="00A63160" w:rsidRPr="00A63160" w:rsidRDefault="00A63160" w:rsidP="00A63160">
      <w:pPr>
        <w:ind w:left="720" w:hanging="720"/>
        <w:rPr>
          <w:sz w:val="20"/>
        </w:rPr>
      </w:pPr>
      <w:r w:rsidRPr="00A63160">
        <w:rPr>
          <w:sz w:val="20"/>
        </w:rPr>
        <w:t xml:space="preserve">Ferris, D. R. (2002). </w:t>
      </w:r>
      <w:r w:rsidRPr="00A63160">
        <w:rPr>
          <w:i/>
          <w:iCs/>
          <w:sz w:val="20"/>
        </w:rPr>
        <w:t>Treatment of error in second language student writing</w:t>
      </w:r>
      <w:r w:rsidRPr="00A63160">
        <w:rPr>
          <w:sz w:val="20"/>
        </w:rPr>
        <w:t>. Ann</w:t>
      </w:r>
      <w:r w:rsidRPr="00A63160">
        <w:rPr>
          <w:sz w:val="20"/>
          <w:rtl/>
        </w:rPr>
        <w:t xml:space="preserve"> </w:t>
      </w:r>
      <w:r w:rsidRPr="00A63160">
        <w:rPr>
          <w:sz w:val="20"/>
        </w:rPr>
        <w:t>Arbor: University</w:t>
      </w:r>
      <w:r w:rsidRPr="00A63160">
        <w:rPr>
          <w:sz w:val="20"/>
          <w:rtl/>
          <w:lang w:bidi="fa-IR"/>
        </w:rPr>
        <w:t xml:space="preserve"> </w:t>
      </w:r>
      <w:r w:rsidRPr="00A63160">
        <w:rPr>
          <w:sz w:val="20"/>
        </w:rPr>
        <w:t>of Michigan Press.</w:t>
      </w:r>
    </w:p>
    <w:p w:rsidR="00A63160" w:rsidRPr="00A63160" w:rsidRDefault="00A63160" w:rsidP="00A63160">
      <w:pPr>
        <w:ind w:left="720" w:hanging="720"/>
        <w:rPr>
          <w:sz w:val="20"/>
          <w:rtl/>
          <w:lang w:bidi="fa-IR"/>
        </w:rPr>
      </w:pPr>
      <w:r w:rsidRPr="00A63160">
        <w:rPr>
          <w:sz w:val="20"/>
        </w:rPr>
        <w:t>Ferris, D. R (2010). Second language writing research and written corrective</w:t>
      </w:r>
      <w:r w:rsidRPr="00A63160">
        <w:rPr>
          <w:sz w:val="20"/>
          <w:rtl/>
          <w:lang w:bidi="fa-IR"/>
        </w:rPr>
        <w:t xml:space="preserve"> </w:t>
      </w:r>
      <w:r w:rsidRPr="00A63160">
        <w:rPr>
          <w:sz w:val="20"/>
        </w:rPr>
        <w:t xml:space="preserve">feedback in SLA: Intersections and practical application. </w:t>
      </w:r>
      <w:r w:rsidRPr="00A63160">
        <w:rPr>
          <w:i/>
          <w:iCs/>
          <w:sz w:val="20"/>
        </w:rPr>
        <w:t>Studies in Second</w:t>
      </w:r>
      <w:r w:rsidRPr="00A63160">
        <w:rPr>
          <w:i/>
          <w:iCs/>
          <w:sz w:val="20"/>
          <w:rtl/>
        </w:rPr>
        <w:t xml:space="preserve"> </w:t>
      </w:r>
      <w:r w:rsidRPr="00A63160">
        <w:rPr>
          <w:i/>
          <w:iCs/>
          <w:sz w:val="20"/>
        </w:rPr>
        <w:t>Language Acquisition</w:t>
      </w:r>
      <w:r w:rsidRPr="00A63160">
        <w:rPr>
          <w:sz w:val="20"/>
        </w:rPr>
        <w:t>,</w:t>
      </w:r>
      <w:r w:rsidRPr="00A63160">
        <w:rPr>
          <w:i/>
          <w:iCs/>
          <w:sz w:val="20"/>
        </w:rPr>
        <w:t xml:space="preserve"> 32</w:t>
      </w:r>
      <w:r w:rsidRPr="00A63160">
        <w:rPr>
          <w:sz w:val="20"/>
        </w:rPr>
        <w:t>(2), 181–201.</w:t>
      </w:r>
    </w:p>
    <w:p w:rsidR="00A63160" w:rsidRPr="00A63160" w:rsidRDefault="00A63160" w:rsidP="00A63160">
      <w:pPr>
        <w:ind w:left="720" w:hanging="720"/>
        <w:rPr>
          <w:sz w:val="20"/>
          <w:rtl/>
          <w:lang w:bidi="fa-IR"/>
        </w:rPr>
      </w:pPr>
      <w:r w:rsidRPr="00A63160">
        <w:rPr>
          <w:sz w:val="20"/>
        </w:rPr>
        <w:t xml:space="preserve">Ferris, D. R., &amp; Roberts, B. (2001). Error feedback in L2 writing classes: How explicit does it need to be? </w:t>
      </w:r>
      <w:r w:rsidRPr="00A63160">
        <w:rPr>
          <w:i/>
          <w:iCs/>
          <w:sz w:val="20"/>
        </w:rPr>
        <w:t>Journal of Second Language Writing, 10</w:t>
      </w:r>
      <w:r w:rsidRPr="00A63160">
        <w:rPr>
          <w:sz w:val="20"/>
        </w:rPr>
        <w:t>(3),</w:t>
      </w:r>
      <w:r w:rsidRPr="00A63160">
        <w:rPr>
          <w:sz w:val="20"/>
          <w:rtl/>
          <w:lang w:bidi="fa-IR"/>
        </w:rPr>
        <w:t xml:space="preserve"> </w:t>
      </w:r>
      <w:r w:rsidRPr="00A63160">
        <w:rPr>
          <w:sz w:val="20"/>
        </w:rPr>
        <w:t>161–184.</w:t>
      </w:r>
    </w:p>
    <w:p w:rsidR="00A63160" w:rsidRPr="00A63160" w:rsidRDefault="00A63160" w:rsidP="00A63160">
      <w:pPr>
        <w:ind w:left="720" w:hanging="720"/>
        <w:rPr>
          <w:sz w:val="20"/>
          <w:rtl/>
          <w:lang w:bidi="fa-IR"/>
        </w:rPr>
      </w:pPr>
      <w:r w:rsidRPr="00A63160">
        <w:rPr>
          <w:sz w:val="20"/>
        </w:rPr>
        <w:t>Fey, M. (1998). Critical literacy in school-college collaboration through computer</w:t>
      </w:r>
      <w:r w:rsidRPr="00A63160">
        <w:rPr>
          <w:sz w:val="20"/>
          <w:rtl/>
        </w:rPr>
        <w:t xml:space="preserve"> </w:t>
      </w:r>
      <w:r w:rsidRPr="00A63160">
        <w:rPr>
          <w:sz w:val="20"/>
        </w:rPr>
        <w:t xml:space="preserve">networking: a feminist research project. </w:t>
      </w:r>
      <w:r w:rsidRPr="00A63160">
        <w:rPr>
          <w:i/>
          <w:iCs/>
          <w:sz w:val="20"/>
        </w:rPr>
        <w:t>Journal of Literacy Research</w:t>
      </w:r>
      <w:r w:rsidRPr="00A63160">
        <w:rPr>
          <w:sz w:val="20"/>
        </w:rPr>
        <w:t>,</w:t>
      </w:r>
      <w:r w:rsidRPr="00A63160">
        <w:rPr>
          <w:sz w:val="20"/>
          <w:rtl/>
          <w:lang w:bidi="fa-IR"/>
        </w:rPr>
        <w:t xml:space="preserve"> </w:t>
      </w:r>
      <w:r w:rsidRPr="00A63160">
        <w:rPr>
          <w:i/>
          <w:iCs/>
          <w:sz w:val="20"/>
        </w:rPr>
        <w:t>30</w:t>
      </w:r>
      <w:r w:rsidRPr="00A63160">
        <w:rPr>
          <w:sz w:val="20"/>
        </w:rPr>
        <w:t>(1),</w:t>
      </w:r>
      <w:r w:rsidRPr="00A63160">
        <w:rPr>
          <w:sz w:val="20"/>
          <w:rtl/>
          <w:lang w:bidi="fa-IR"/>
        </w:rPr>
        <w:t xml:space="preserve"> </w:t>
      </w:r>
      <w:r w:rsidRPr="00A63160">
        <w:rPr>
          <w:sz w:val="20"/>
        </w:rPr>
        <w:t>85–117.</w:t>
      </w:r>
    </w:p>
    <w:p w:rsidR="00A63160" w:rsidRPr="00A63160" w:rsidRDefault="00A63160" w:rsidP="00A63160">
      <w:pPr>
        <w:ind w:left="720" w:hanging="720"/>
        <w:rPr>
          <w:sz w:val="20"/>
          <w:rtl/>
          <w:lang w:bidi="fa-IR"/>
        </w:rPr>
      </w:pPr>
      <w:r w:rsidRPr="00A63160">
        <w:rPr>
          <w:sz w:val="20"/>
        </w:rPr>
        <w:t xml:space="preserve">Gass, S. (1997) </w:t>
      </w:r>
      <w:r w:rsidRPr="00A63160">
        <w:rPr>
          <w:i/>
          <w:iCs/>
          <w:sz w:val="20"/>
        </w:rPr>
        <w:t>Input, Interaction, and the Second Language Learner</w:t>
      </w:r>
      <w:r w:rsidRPr="00A63160">
        <w:rPr>
          <w:sz w:val="20"/>
        </w:rPr>
        <w:t>. Mahwah,</w:t>
      </w:r>
      <w:r w:rsidRPr="00A63160">
        <w:rPr>
          <w:sz w:val="20"/>
          <w:rtl/>
          <w:lang w:bidi="fa-IR"/>
        </w:rPr>
        <w:t xml:space="preserve"> </w:t>
      </w:r>
      <w:r w:rsidRPr="00A63160">
        <w:rPr>
          <w:sz w:val="20"/>
        </w:rPr>
        <w:t>NJ: Lawrence Erlbaum.</w:t>
      </w:r>
    </w:p>
    <w:p w:rsidR="00A63160" w:rsidRPr="00A63160" w:rsidRDefault="00A63160" w:rsidP="00A63160">
      <w:pPr>
        <w:ind w:left="720" w:hanging="720"/>
        <w:rPr>
          <w:i/>
          <w:iCs/>
          <w:sz w:val="20"/>
        </w:rPr>
      </w:pPr>
      <w:r w:rsidRPr="00A63160">
        <w:rPr>
          <w:i/>
          <w:iCs/>
          <w:sz w:val="20"/>
        </w:rPr>
        <w:t>Gaynor, P. (1981). The effect of feedback delay on retention of computer-based</w:t>
      </w:r>
      <w:r w:rsidRPr="00A63160">
        <w:rPr>
          <w:i/>
          <w:iCs/>
          <w:sz w:val="20"/>
          <w:rtl/>
        </w:rPr>
        <w:t xml:space="preserve"> </w:t>
      </w:r>
      <w:r w:rsidRPr="00A63160">
        <w:rPr>
          <w:i/>
          <w:iCs/>
          <w:sz w:val="20"/>
        </w:rPr>
        <w:t>mathematical material. Journal of Computer-Based Instruction, 8(2), 28–34.</w:t>
      </w:r>
    </w:p>
    <w:p w:rsidR="00A63160" w:rsidRPr="00A63160" w:rsidRDefault="00A63160" w:rsidP="00A63160">
      <w:pPr>
        <w:ind w:left="720" w:hanging="720"/>
        <w:rPr>
          <w:sz w:val="20"/>
          <w:rtl/>
          <w:lang w:bidi="fa-IR"/>
        </w:rPr>
      </w:pPr>
      <w:r w:rsidRPr="00A63160">
        <w:rPr>
          <w:sz w:val="20"/>
        </w:rPr>
        <w:t>Guenette, D. (2007). Is feedback pedagogically correct? Research design issues in</w:t>
      </w:r>
      <w:r w:rsidRPr="00A63160">
        <w:rPr>
          <w:sz w:val="20"/>
          <w:rtl/>
          <w:lang w:bidi="fa-IR"/>
        </w:rPr>
        <w:t xml:space="preserve"> </w:t>
      </w:r>
      <w:r w:rsidRPr="00A63160">
        <w:rPr>
          <w:sz w:val="20"/>
        </w:rPr>
        <w:t xml:space="preserve">studies of feedback on writing. </w:t>
      </w:r>
      <w:r w:rsidRPr="00A63160">
        <w:rPr>
          <w:i/>
          <w:iCs/>
          <w:sz w:val="20"/>
        </w:rPr>
        <w:t>Journal of Second Language Writing</w:t>
      </w:r>
      <w:r w:rsidRPr="00A63160">
        <w:rPr>
          <w:color w:val="292526"/>
          <w:sz w:val="20"/>
        </w:rPr>
        <w:t>,</w:t>
      </w:r>
      <w:r w:rsidRPr="00A63160">
        <w:rPr>
          <w:i/>
          <w:iCs/>
          <w:sz w:val="20"/>
        </w:rPr>
        <w:t xml:space="preserve"> 16</w:t>
      </w:r>
      <w:r w:rsidRPr="00A63160">
        <w:rPr>
          <w:sz w:val="20"/>
        </w:rPr>
        <w:t>(1),</w:t>
      </w:r>
      <w:r w:rsidRPr="00A63160">
        <w:rPr>
          <w:sz w:val="20"/>
          <w:rtl/>
        </w:rPr>
        <w:t xml:space="preserve"> </w:t>
      </w:r>
      <w:r w:rsidRPr="00A63160">
        <w:rPr>
          <w:sz w:val="20"/>
        </w:rPr>
        <w:t>40–53.</w:t>
      </w:r>
    </w:p>
    <w:p w:rsidR="00A63160" w:rsidRPr="00A63160" w:rsidRDefault="00A63160" w:rsidP="00A63160">
      <w:pPr>
        <w:ind w:left="720" w:hanging="720"/>
        <w:rPr>
          <w:sz w:val="20"/>
          <w:rtl/>
          <w:lang w:bidi="fa-IR"/>
        </w:rPr>
      </w:pPr>
      <w:r w:rsidRPr="00A63160">
        <w:rPr>
          <w:sz w:val="20"/>
        </w:rPr>
        <w:t xml:space="preserve">Heift, T. (2004). Corrective feedback and learner uptake in CALL. </w:t>
      </w:r>
      <w:r w:rsidRPr="00A63160">
        <w:rPr>
          <w:i/>
          <w:iCs/>
          <w:sz w:val="20"/>
        </w:rPr>
        <w:t>ReCALL</w:t>
      </w:r>
      <w:r w:rsidRPr="00A63160">
        <w:rPr>
          <w:sz w:val="20"/>
        </w:rPr>
        <w:t>,</w:t>
      </w:r>
      <w:r w:rsidRPr="00A63160">
        <w:rPr>
          <w:sz w:val="20"/>
          <w:rtl/>
        </w:rPr>
        <w:t xml:space="preserve"> </w:t>
      </w:r>
      <w:r w:rsidRPr="00A63160">
        <w:rPr>
          <w:i/>
          <w:iCs/>
          <w:sz w:val="20"/>
        </w:rPr>
        <w:t>16</w:t>
      </w:r>
      <w:r w:rsidRPr="00A63160">
        <w:rPr>
          <w:sz w:val="20"/>
        </w:rPr>
        <w:t>(2), 416</w:t>
      </w:r>
      <w:r w:rsidRPr="00A63160">
        <w:rPr>
          <w:color w:val="292526"/>
          <w:sz w:val="20"/>
        </w:rPr>
        <w:t>–</w:t>
      </w:r>
      <w:r w:rsidRPr="00A63160">
        <w:rPr>
          <w:sz w:val="20"/>
        </w:rPr>
        <w:t>431.</w:t>
      </w:r>
    </w:p>
    <w:p w:rsidR="00A63160" w:rsidRPr="00A63160" w:rsidRDefault="00A63160" w:rsidP="00A63160">
      <w:pPr>
        <w:ind w:left="720" w:hanging="720"/>
        <w:rPr>
          <w:sz w:val="20"/>
          <w:rtl/>
          <w:lang w:bidi="fa-IR"/>
        </w:rPr>
      </w:pPr>
      <w:r w:rsidRPr="00A63160">
        <w:rPr>
          <w:sz w:val="20"/>
        </w:rPr>
        <w:t>Hendrickson, J. M. (1978). Error correction in foreign language teaching: Recent theory, research, and practice. Modern Language Journal, 62 (8), 387–398.</w:t>
      </w:r>
    </w:p>
    <w:p w:rsidR="00A63160" w:rsidRPr="00A63160" w:rsidRDefault="00A63160" w:rsidP="00A63160">
      <w:pPr>
        <w:ind w:left="720" w:hanging="720"/>
        <w:rPr>
          <w:sz w:val="20"/>
          <w:rtl/>
          <w:lang w:bidi="fa-IR"/>
        </w:rPr>
      </w:pPr>
      <w:r w:rsidRPr="00A63160">
        <w:rPr>
          <w:sz w:val="20"/>
        </w:rPr>
        <w:t>Hiltz, S. R., &amp; Turoff, M. (1978). The Network Nation: Human Communication</w:t>
      </w:r>
      <w:r w:rsidRPr="00A63160">
        <w:rPr>
          <w:sz w:val="20"/>
          <w:rtl/>
          <w:lang w:bidi="fa-IR"/>
        </w:rPr>
        <w:t xml:space="preserve"> </w:t>
      </w:r>
      <w:r w:rsidRPr="00A63160">
        <w:rPr>
          <w:sz w:val="20"/>
        </w:rPr>
        <w:t>via Computer. Norwood, NJ: Ablex.</w:t>
      </w:r>
    </w:p>
    <w:p w:rsidR="00A63160" w:rsidRPr="00A63160" w:rsidRDefault="00A63160" w:rsidP="00A63160">
      <w:pPr>
        <w:ind w:left="720" w:hanging="720"/>
        <w:rPr>
          <w:sz w:val="20"/>
          <w:rtl/>
          <w:lang w:bidi="fa-IR"/>
        </w:rPr>
      </w:pPr>
      <w:r w:rsidRPr="00A63160">
        <w:rPr>
          <w:sz w:val="20"/>
        </w:rPr>
        <w:lastRenderedPageBreak/>
        <w:t>Iwasaki, J., &amp; Oliver, R. (2003). Chat-line interaction and negative feedback.</w:t>
      </w:r>
      <w:r w:rsidRPr="00A63160">
        <w:rPr>
          <w:sz w:val="20"/>
          <w:rtl/>
          <w:lang w:bidi="fa-IR"/>
        </w:rPr>
        <w:t xml:space="preserve"> </w:t>
      </w:r>
      <w:r w:rsidRPr="00A63160">
        <w:rPr>
          <w:i/>
          <w:iCs/>
          <w:sz w:val="20"/>
        </w:rPr>
        <w:t>Australian Review of Applied Linguistics</w:t>
      </w:r>
      <w:r w:rsidRPr="00A63160">
        <w:rPr>
          <w:sz w:val="20"/>
        </w:rPr>
        <w:t>,</w:t>
      </w:r>
      <w:r w:rsidRPr="00A63160">
        <w:rPr>
          <w:i/>
          <w:iCs/>
          <w:sz w:val="20"/>
        </w:rPr>
        <w:t xml:space="preserve"> 17</w:t>
      </w:r>
      <w:r w:rsidRPr="00A63160">
        <w:rPr>
          <w:sz w:val="20"/>
        </w:rPr>
        <w:t>, 60–73.</w:t>
      </w:r>
    </w:p>
    <w:p w:rsidR="00A63160" w:rsidRPr="00A63160" w:rsidRDefault="00A63160" w:rsidP="00A63160">
      <w:pPr>
        <w:ind w:left="720" w:hanging="720"/>
        <w:rPr>
          <w:rFonts w:eastAsia="UPCIBold"/>
          <w:color w:val="231F20"/>
          <w:sz w:val="20"/>
          <w:rtl/>
          <w:lang w:bidi="fa-IR"/>
        </w:rPr>
      </w:pPr>
      <w:r w:rsidRPr="00A63160">
        <w:rPr>
          <w:sz w:val="20"/>
        </w:rPr>
        <w:t xml:space="preserve">Kaweera, C., &amp; Usaha, S. (2008). </w:t>
      </w:r>
      <w:r w:rsidRPr="00A63160">
        <w:rPr>
          <w:rFonts w:eastAsia="UPCIBold"/>
          <w:color w:val="231F20"/>
          <w:sz w:val="20"/>
        </w:rPr>
        <w:t>The Impact of Different Types of Teacher</w:t>
      </w:r>
      <w:r w:rsidRPr="00A63160">
        <w:rPr>
          <w:rFonts w:eastAsia="UPCIBold"/>
          <w:color w:val="231F20"/>
          <w:sz w:val="20"/>
          <w:rtl/>
          <w:lang w:bidi="fa-IR"/>
        </w:rPr>
        <w:t xml:space="preserve"> </w:t>
      </w:r>
      <w:r w:rsidRPr="00A63160">
        <w:rPr>
          <w:rFonts w:eastAsia="UPCIBold"/>
          <w:color w:val="231F20"/>
          <w:sz w:val="20"/>
        </w:rPr>
        <w:t xml:space="preserve">Written Feedback on EFL University Students’ Writing. </w:t>
      </w:r>
      <w:r w:rsidRPr="00A63160">
        <w:rPr>
          <w:rFonts w:eastAsia="UPCIBold"/>
          <w:i/>
          <w:iCs/>
          <w:color w:val="231F20"/>
          <w:sz w:val="20"/>
        </w:rPr>
        <w:t>KKU Res J (GS)</w:t>
      </w:r>
      <w:r w:rsidRPr="00A63160">
        <w:rPr>
          <w:rFonts w:eastAsia="UPCIBold"/>
          <w:color w:val="231F20"/>
          <w:sz w:val="20"/>
        </w:rPr>
        <w:t>,</w:t>
      </w:r>
      <w:r w:rsidRPr="00A63160">
        <w:rPr>
          <w:rFonts w:eastAsia="UPCIBold"/>
          <w:color w:val="231F20"/>
          <w:sz w:val="20"/>
          <w:rtl/>
        </w:rPr>
        <w:t xml:space="preserve"> </w:t>
      </w:r>
      <w:r w:rsidRPr="00A63160">
        <w:rPr>
          <w:rFonts w:eastAsia="UPCIBold"/>
          <w:i/>
          <w:iCs/>
          <w:color w:val="231F20"/>
          <w:sz w:val="20"/>
        </w:rPr>
        <w:t>8</w:t>
      </w:r>
      <w:r w:rsidRPr="00A63160">
        <w:rPr>
          <w:rFonts w:eastAsia="UPCIBold"/>
          <w:color w:val="231F20"/>
          <w:sz w:val="20"/>
        </w:rPr>
        <w:t>(2), 83</w:t>
      </w:r>
      <w:r w:rsidRPr="00A63160">
        <w:rPr>
          <w:sz w:val="20"/>
        </w:rPr>
        <w:t>–</w:t>
      </w:r>
      <w:r w:rsidRPr="00A63160">
        <w:rPr>
          <w:rFonts w:eastAsia="UPCIBold"/>
          <w:color w:val="231F20"/>
          <w:sz w:val="20"/>
        </w:rPr>
        <w:t xml:space="preserve"> 94.</w:t>
      </w:r>
    </w:p>
    <w:p w:rsidR="00A63160" w:rsidRPr="00A63160" w:rsidRDefault="00A63160" w:rsidP="00A63160">
      <w:pPr>
        <w:ind w:left="720" w:hanging="720"/>
        <w:rPr>
          <w:sz w:val="20"/>
          <w:rtl/>
          <w:lang w:bidi="fa-IR"/>
        </w:rPr>
      </w:pPr>
      <w:r w:rsidRPr="00A63160">
        <w:rPr>
          <w:color w:val="000000"/>
          <w:sz w:val="20"/>
        </w:rPr>
        <w:t xml:space="preserve">Kılınç, E. (2007). </w:t>
      </w:r>
      <w:r w:rsidRPr="00A63160">
        <w:rPr>
          <w:i/>
          <w:iCs/>
          <w:color w:val="000000"/>
          <w:sz w:val="20"/>
        </w:rPr>
        <w:t>Use of Corrective Feedback in EFL Classes.</w:t>
      </w:r>
      <w:r w:rsidRPr="00A63160">
        <w:rPr>
          <w:color w:val="000000"/>
          <w:sz w:val="20"/>
        </w:rPr>
        <w:t xml:space="preserve"> Unpublished M.A.</w:t>
      </w:r>
      <w:r w:rsidRPr="00A63160">
        <w:rPr>
          <w:color w:val="000000"/>
          <w:sz w:val="20"/>
          <w:rtl/>
          <w:lang w:bidi="fa-IR"/>
        </w:rPr>
        <w:t xml:space="preserve"> </w:t>
      </w:r>
      <w:r w:rsidRPr="00A63160">
        <w:rPr>
          <w:color w:val="000000"/>
          <w:sz w:val="20"/>
        </w:rPr>
        <w:t xml:space="preserve">Thesis, Anadolu University, Institute of Educational Sciences. </w:t>
      </w:r>
    </w:p>
    <w:p w:rsidR="00A63160" w:rsidRPr="00A63160" w:rsidRDefault="00A63160" w:rsidP="00A63160">
      <w:pPr>
        <w:ind w:left="720" w:hanging="720"/>
        <w:rPr>
          <w:sz w:val="20"/>
          <w:rtl/>
          <w:lang w:bidi="fa-IR"/>
        </w:rPr>
      </w:pPr>
      <w:r w:rsidRPr="00A63160">
        <w:rPr>
          <w:sz w:val="20"/>
        </w:rPr>
        <w:t xml:space="preserve">Kim, H-R., &amp; Mathes, G. (2001). Explicit vs. implicit feedback. </w:t>
      </w:r>
      <w:r w:rsidRPr="00A63160">
        <w:rPr>
          <w:i/>
          <w:iCs/>
          <w:sz w:val="20"/>
        </w:rPr>
        <w:t>The</w:t>
      </w:r>
      <w:r w:rsidRPr="00A63160">
        <w:rPr>
          <w:sz w:val="20"/>
        </w:rPr>
        <w:t xml:space="preserve"> </w:t>
      </w:r>
      <w:r w:rsidRPr="00A63160">
        <w:rPr>
          <w:i/>
          <w:iCs/>
          <w:sz w:val="20"/>
        </w:rPr>
        <w:t>Korean</w:t>
      </w:r>
      <w:r w:rsidRPr="00A63160">
        <w:rPr>
          <w:i/>
          <w:iCs/>
          <w:sz w:val="20"/>
          <w:rtl/>
          <w:lang w:bidi="fa-IR"/>
        </w:rPr>
        <w:t xml:space="preserve"> </w:t>
      </w:r>
      <w:r w:rsidRPr="00A63160">
        <w:rPr>
          <w:i/>
          <w:iCs/>
          <w:sz w:val="20"/>
        </w:rPr>
        <w:t>TESOL</w:t>
      </w:r>
      <w:r w:rsidRPr="00A63160">
        <w:rPr>
          <w:sz w:val="20"/>
        </w:rPr>
        <w:t xml:space="preserve"> </w:t>
      </w:r>
      <w:r w:rsidRPr="00A63160">
        <w:rPr>
          <w:i/>
          <w:iCs/>
          <w:sz w:val="20"/>
        </w:rPr>
        <w:t>Journal</w:t>
      </w:r>
      <w:r w:rsidRPr="00A63160">
        <w:rPr>
          <w:sz w:val="20"/>
        </w:rPr>
        <w:t xml:space="preserve">, </w:t>
      </w:r>
      <w:r w:rsidRPr="00A63160">
        <w:rPr>
          <w:i/>
          <w:iCs/>
          <w:sz w:val="20"/>
        </w:rPr>
        <w:t>4</w:t>
      </w:r>
      <w:r w:rsidRPr="00A63160">
        <w:rPr>
          <w:sz w:val="20"/>
        </w:rPr>
        <w:t>(1), 57–72. Retrieved June 21, 2007, from http://www.kotesol.org/files/u1/KTJ2001.zip</w:t>
      </w:r>
    </w:p>
    <w:p w:rsidR="00A63160" w:rsidRPr="00A63160" w:rsidRDefault="00A63160" w:rsidP="00A63160">
      <w:pPr>
        <w:ind w:left="720" w:hanging="720"/>
        <w:rPr>
          <w:color w:val="000000"/>
          <w:sz w:val="20"/>
          <w:rtl/>
          <w:lang w:bidi="fa-IR"/>
        </w:rPr>
      </w:pPr>
      <w:r w:rsidRPr="00A63160">
        <w:rPr>
          <w:color w:val="000000"/>
          <w:sz w:val="20"/>
        </w:rPr>
        <w:t xml:space="preserve">Lalande, J. F. (1982). Reducing composition errors: An experiment. </w:t>
      </w:r>
      <w:r w:rsidRPr="00A63160">
        <w:rPr>
          <w:i/>
          <w:iCs/>
          <w:color w:val="000000"/>
          <w:sz w:val="20"/>
        </w:rPr>
        <w:t>The Modern</w:t>
      </w:r>
      <w:r w:rsidRPr="00A63160">
        <w:rPr>
          <w:i/>
          <w:iCs/>
          <w:color w:val="000000"/>
          <w:sz w:val="20"/>
          <w:rtl/>
        </w:rPr>
        <w:t xml:space="preserve"> </w:t>
      </w:r>
      <w:r w:rsidRPr="00A63160">
        <w:rPr>
          <w:i/>
          <w:iCs/>
          <w:color w:val="000000"/>
          <w:sz w:val="20"/>
        </w:rPr>
        <w:t>Language Journal</w:t>
      </w:r>
      <w:r w:rsidRPr="00A63160">
        <w:rPr>
          <w:color w:val="000000"/>
          <w:sz w:val="20"/>
        </w:rPr>
        <w:t xml:space="preserve">, </w:t>
      </w:r>
      <w:r w:rsidRPr="00A63160">
        <w:rPr>
          <w:i/>
          <w:iCs/>
          <w:color w:val="000000"/>
          <w:sz w:val="20"/>
        </w:rPr>
        <w:t>66</w:t>
      </w:r>
      <w:r w:rsidRPr="00A63160">
        <w:rPr>
          <w:color w:val="000000"/>
          <w:sz w:val="20"/>
        </w:rPr>
        <w:t>(2), 140</w:t>
      </w:r>
      <w:r w:rsidRPr="00A63160">
        <w:rPr>
          <w:sz w:val="20"/>
        </w:rPr>
        <w:t>–</w:t>
      </w:r>
      <w:r w:rsidRPr="00A63160">
        <w:rPr>
          <w:color w:val="000000"/>
          <w:sz w:val="20"/>
        </w:rPr>
        <w:t>149.</w:t>
      </w:r>
    </w:p>
    <w:p w:rsidR="00A63160" w:rsidRPr="00A63160" w:rsidRDefault="00A63160" w:rsidP="00A63160">
      <w:pPr>
        <w:ind w:left="720" w:hanging="720"/>
        <w:rPr>
          <w:color w:val="000000"/>
          <w:sz w:val="20"/>
          <w:rtl/>
          <w:lang w:bidi="fa-IR"/>
        </w:rPr>
      </w:pPr>
      <w:r w:rsidRPr="00A63160">
        <w:rPr>
          <w:color w:val="000000"/>
          <w:sz w:val="20"/>
        </w:rPr>
        <w:t xml:space="preserve">Lea, M. (2001). Computer conferencing and assessment: new ways of writing in higher education. </w:t>
      </w:r>
      <w:r w:rsidRPr="00A63160">
        <w:rPr>
          <w:i/>
          <w:iCs/>
          <w:color w:val="000000"/>
          <w:sz w:val="20"/>
        </w:rPr>
        <w:t>Studies in Higher Education,</w:t>
      </w:r>
      <w:r w:rsidRPr="00A63160">
        <w:rPr>
          <w:color w:val="000000"/>
          <w:sz w:val="20"/>
        </w:rPr>
        <w:t xml:space="preserve"> </w:t>
      </w:r>
      <w:r w:rsidRPr="00A63160">
        <w:rPr>
          <w:i/>
          <w:iCs/>
          <w:color w:val="000000"/>
          <w:sz w:val="20"/>
        </w:rPr>
        <w:t>26</w:t>
      </w:r>
      <w:r w:rsidRPr="00A63160">
        <w:rPr>
          <w:color w:val="000000"/>
          <w:sz w:val="20"/>
        </w:rPr>
        <w:t>(2), 163–181.</w:t>
      </w:r>
    </w:p>
    <w:p w:rsidR="00A63160" w:rsidRPr="00A63160" w:rsidRDefault="00A63160" w:rsidP="00A63160">
      <w:pPr>
        <w:ind w:left="720" w:hanging="720"/>
        <w:rPr>
          <w:sz w:val="20"/>
          <w:rtl/>
          <w:lang w:bidi="fa-IR"/>
        </w:rPr>
      </w:pPr>
      <w:r w:rsidRPr="00A63160">
        <w:rPr>
          <w:sz w:val="20"/>
        </w:rPr>
        <w:t>Lee, L. (1997). ESL learners’ performance in</w:t>
      </w:r>
      <w:r w:rsidRPr="00A63160">
        <w:rPr>
          <w:sz w:val="20"/>
          <w:rtl/>
          <w:lang w:bidi="fa-IR"/>
        </w:rPr>
        <w:t xml:space="preserve"> </w:t>
      </w:r>
      <w:r w:rsidRPr="00A63160">
        <w:rPr>
          <w:sz w:val="20"/>
        </w:rPr>
        <w:t xml:space="preserve">error correction in writing. </w:t>
      </w:r>
      <w:r w:rsidRPr="00A63160">
        <w:rPr>
          <w:i/>
          <w:iCs/>
          <w:sz w:val="20"/>
        </w:rPr>
        <w:t>System</w:t>
      </w:r>
      <w:r w:rsidRPr="00A63160">
        <w:rPr>
          <w:sz w:val="20"/>
        </w:rPr>
        <w:t>,</w:t>
      </w:r>
      <w:r w:rsidRPr="00A63160">
        <w:rPr>
          <w:sz w:val="20"/>
          <w:rtl/>
          <w:lang w:bidi="fa-IR"/>
        </w:rPr>
        <w:t xml:space="preserve"> </w:t>
      </w:r>
      <w:r w:rsidRPr="00A63160">
        <w:rPr>
          <w:i/>
          <w:iCs/>
          <w:sz w:val="20"/>
        </w:rPr>
        <w:t>25</w:t>
      </w:r>
      <w:r w:rsidRPr="00A63160">
        <w:rPr>
          <w:sz w:val="20"/>
        </w:rPr>
        <w:t>(4), 465–477.</w:t>
      </w:r>
    </w:p>
    <w:p w:rsidR="00A63160" w:rsidRPr="00A63160" w:rsidRDefault="00A63160" w:rsidP="00A63160">
      <w:pPr>
        <w:ind w:left="720" w:hanging="720"/>
        <w:rPr>
          <w:sz w:val="20"/>
          <w:rtl/>
        </w:rPr>
      </w:pPr>
      <w:r w:rsidRPr="00A63160">
        <w:rPr>
          <w:sz w:val="20"/>
        </w:rPr>
        <w:t>Leki, I. (1991). The preferences of ESL students for error correction in</w:t>
      </w:r>
      <w:r w:rsidRPr="00A63160">
        <w:rPr>
          <w:sz w:val="20"/>
          <w:rtl/>
        </w:rPr>
        <w:t xml:space="preserve"> </w:t>
      </w:r>
      <w:r w:rsidRPr="00A63160">
        <w:rPr>
          <w:sz w:val="20"/>
        </w:rPr>
        <w:t>college-</w:t>
      </w:r>
      <w:r w:rsidRPr="00A63160">
        <w:rPr>
          <w:sz w:val="20"/>
          <w:rtl/>
        </w:rPr>
        <w:t xml:space="preserve"> </w:t>
      </w:r>
      <w:r w:rsidRPr="00A63160">
        <w:rPr>
          <w:sz w:val="20"/>
        </w:rPr>
        <w:t>level writing classes. Foreign Language Annals, 24(3), 203–218.</w:t>
      </w:r>
    </w:p>
    <w:p w:rsidR="00A63160" w:rsidRPr="00A63160" w:rsidRDefault="00A63160" w:rsidP="00A63160">
      <w:pPr>
        <w:ind w:left="720" w:hanging="720"/>
        <w:rPr>
          <w:sz w:val="20"/>
        </w:rPr>
      </w:pPr>
      <w:r w:rsidRPr="00A63160">
        <w:rPr>
          <w:sz w:val="20"/>
        </w:rPr>
        <w:t>Leowen, S., &amp; Erlam, R. (2006, February). Corrective Feedback in the Chatroom:</w:t>
      </w:r>
      <w:r w:rsidRPr="00A63160">
        <w:rPr>
          <w:sz w:val="20"/>
          <w:rtl/>
        </w:rPr>
        <w:t xml:space="preserve"> </w:t>
      </w:r>
      <w:r w:rsidRPr="00A63160">
        <w:rPr>
          <w:sz w:val="20"/>
        </w:rPr>
        <w:t>An Experimental Study. Computer Assisted Language Learning, 19(1), 1–14.</w:t>
      </w:r>
    </w:p>
    <w:p w:rsidR="00A63160" w:rsidRPr="00A63160" w:rsidRDefault="00A63160" w:rsidP="00A63160">
      <w:pPr>
        <w:ind w:left="720" w:hanging="720"/>
        <w:rPr>
          <w:sz w:val="20"/>
          <w:rtl/>
        </w:rPr>
      </w:pPr>
      <w:r w:rsidRPr="00A63160">
        <w:rPr>
          <w:sz w:val="20"/>
        </w:rPr>
        <w:t>Liang, Y. (2008). The effects of error feedback in second language writing.</w:t>
      </w:r>
      <w:r w:rsidRPr="00A63160">
        <w:rPr>
          <w:sz w:val="20"/>
          <w:rtl/>
        </w:rPr>
        <w:t xml:space="preserve"> </w:t>
      </w:r>
      <w:r w:rsidRPr="00A63160">
        <w:rPr>
          <w:sz w:val="20"/>
        </w:rPr>
        <w:t>Second Language Acquisition and Teaching, 15, 65–79.</w:t>
      </w:r>
    </w:p>
    <w:p w:rsidR="00A63160" w:rsidRPr="00A63160" w:rsidRDefault="00A63160" w:rsidP="00A63160">
      <w:pPr>
        <w:ind w:left="720" w:hanging="720"/>
        <w:rPr>
          <w:sz w:val="20"/>
          <w:rtl/>
          <w:lang w:bidi="fa-IR"/>
        </w:rPr>
      </w:pPr>
      <w:r w:rsidRPr="00A63160">
        <w:rPr>
          <w:sz w:val="20"/>
        </w:rPr>
        <w:t>Lightbown, P. M. &amp; Spada, N. (1990). Focus on form and corrective feedback in</w:t>
      </w:r>
      <w:r w:rsidRPr="00A63160">
        <w:rPr>
          <w:sz w:val="20"/>
          <w:rtl/>
          <w:lang w:bidi="fa-IR"/>
        </w:rPr>
        <w:t xml:space="preserve"> </w:t>
      </w:r>
      <w:r w:rsidRPr="00A63160">
        <w:rPr>
          <w:sz w:val="20"/>
        </w:rPr>
        <w:t>communicative language teaching: Effects on second language learning.</w:t>
      </w:r>
      <w:r w:rsidRPr="00A63160">
        <w:rPr>
          <w:sz w:val="20"/>
          <w:rtl/>
        </w:rPr>
        <w:t xml:space="preserve"> </w:t>
      </w:r>
      <w:r w:rsidRPr="00A63160">
        <w:rPr>
          <w:i/>
          <w:iCs/>
          <w:sz w:val="20"/>
        </w:rPr>
        <w:t>Studies in Second Language Acquisition</w:t>
      </w:r>
      <w:r w:rsidRPr="00A63160">
        <w:rPr>
          <w:sz w:val="20"/>
        </w:rPr>
        <w:t xml:space="preserve">, </w:t>
      </w:r>
      <w:r w:rsidRPr="00A63160">
        <w:rPr>
          <w:i/>
          <w:iCs/>
          <w:sz w:val="20"/>
        </w:rPr>
        <w:t>12</w:t>
      </w:r>
      <w:r w:rsidRPr="00A63160">
        <w:rPr>
          <w:sz w:val="20"/>
        </w:rPr>
        <w:t>(4), 429–448.</w:t>
      </w:r>
    </w:p>
    <w:p w:rsidR="00A63160" w:rsidRPr="00A63160" w:rsidRDefault="00A63160" w:rsidP="00A63160">
      <w:pPr>
        <w:ind w:left="720" w:hanging="720"/>
        <w:rPr>
          <w:sz w:val="20"/>
        </w:rPr>
      </w:pPr>
      <w:r w:rsidRPr="00A63160">
        <w:rPr>
          <w:sz w:val="20"/>
        </w:rPr>
        <w:t xml:space="preserve">Long, M. H. (2006). </w:t>
      </w:r>
      <w:r w:rsidRPr="00A63160">
        <w:rPr>
          <w:i/>
          <w:iCs/>
          <w:sz w:val="20"/>
        </w:rPr>
        <w:t xml:space="preserve">Problems in SLA. </w:t>
      </w:r>
      <w:r w:rsidRPr="00A63160">
        <w:rPr>
          <w:sz w:val="20"/>
        </w:rPr>
        <w:t>Mahwah, NJ: Lawrence Erlbaum</w:t>
      </w:r>
      <w:r w:rsidRPr="00A63160">
        <w:rPr>
          <w:sz w:val="20"/>
          <w:rtl/>
          <w:lang w:bidi="fa-IR"/>
        </w:rPr>
        <w:t xml:space="preserve"> </w:t>
      </w:r>
      <w:r w:rsidRPr="00A63160">
        <w:rPr>
          <w:sz w:val="20"/>
        </w:rPr>
        <w:t>Associates.</w:t>
      </w:r>
    </w:p>
    <w:p w:rsidR="00A63160" w:rsidRPr="00A63160" w:rsidRDefault="00A63160" w:rsidP="00A63160">
      <w:pPr>
        <w:ind w:left="720" w:hanging="720"/>
        <w:rPr>
          <w:color w:val="000000"/>
          <w:sz w:val="20"/>
          <w:rtl/>
          <w:lang w:bidi="fa-IR"/>
        </w:rPr>
      </w:pPr>
      <w:r w:rsidRPr="00A63160">
        <w:rPr>
          <w:sz w:val="20"/>
        </w:rPr>
        <w:t>Lyster, R. (1998). Recasts, repetition and ambiguity on L2 classroom discourse.</w:t>
      </w:r>
      <w:r w:rsidRPr="00A63160">
        <w:rPr>
          <w:sz w:val="20"/>
          <w:rtl/>
          <w:lang w:bidi="fa-IR"/>
        </w:rPr>
        <w:t xml:space="preserve"> </w:t>
      </w:r>
      <w:r w:rsidRPr="00A63160">
        <w:rPr>
          <w:i/>
          <w:iCs/>
          <w:sz w:val="20"/>
        </w:rPr>
        <w:t>Studies in Second Language Acquisition</w:t>
      </w:r>
      <w:r w:rsidRPr="00A63160">
        <w:rPr>
          <w:sz w:val="20"/>
        </w:rPr>
        <w:t xml:space="preserve">, </w:t>
      </w:r>
      <w:r w:rsidRPr="00A63160">
        <w:rPr>
          <w:i/>
          <w:iCs/>
          <w:sz w:val="20"/>
        </w:rPr>
        <w:t>20</w:t>
      </w:r>
      <w:r w:rsidRPr="00A63160">
        <w:rPr>
          <w:sz w:val="20"/>
        </w:rPr>
        <w:t>(1), 51–81.</w:t>
      </w:r>
    </w:p>
    <w:p w:rsidR="00A63160" w:rsidRPr="00A63160" w:rsidRDefault="00A63160" w:rsidP="00A63160">
      <w:pPr>
        <w:ind w:left="720" w:hanging="720"/>
        <w:rPr>
          <w:sz w:val="20"/>
          <w:rtl/>
          <w:lang w:bidi="fa-IR"/>
        </w:rPr>
      </w:pPr>
      <w:r w:rsidRPr="00A63160">
        <w:rPr>
          <w:sz w:val="20"/>
        </w:rPr>
        <w:t>Lyster, R., &amp; Ranta, L. (1997). Corrective feedback and learner uptake:</w:t>
      </w:r>
      <w:r w:rsidRPr="00A63160">
        <w:rPr>
          <w:sz w:val="20"/>
          <w:rtl/>
          <w:lang w:bidi="fa-IR"/>
        </w:rPr>
        <w:t xml:space="preserve"> </w:t>
      </w:r>
      <w:r w:rsidRPr="00A63160">
        <w:rPr>
          <w:sz w:val="20"/>
        </w:rPr>
        <w:t xml:space="preserve">Negotiation form in communicative classrooms. </w:t>
      </w:r>
      <w:r w:rsidRPr="00A63160">
        <w:rPr>
          <w:i/>
          <w:iCs/>
          <w:sz w:val="20"/>
        </w:rPr>
        <w:t>Studies in Second</w:t>
      </w:r>
      <w:r w:rsidRPr="00A63160">
        <w:rPr>
          <w:i/>
          <w:iCs/>
          <w:sz w:val="20"/>
          <w:rtl/>
        </w:rPr>
        <w:t xml:space="preserve"> </w:t>
      </w:r>
      <w:r w:rsidRPr="00A63160">
        <w:rPr>
          <w:i/>
          <w:iCs/>
          <w:sz w:val="20"/>
        </w:rPr>
        <w:t>Language Acquisition</w:t>
      </w:r>
      <w:r w:rsidRPr="00A63160">
        <w:rPr>
          <w:color w:val="000000"/>
          <w:sz w:val="20"/>
        </w:rPr>
        <w:t>,</w:t>
      </w:r>
      <w:r w:rsidRPr="00A63160">
        <w:rPr>
          <w:i/>
          <w:iCs/>
          <w:sz w:val="20"/>
        </w:rPr>
        <w:t xml:space="preserve"> 19</w:t>
      </w:r>
      <w:r w:rsidRPr="00A63160">
        <w:rPr>
          <w:color w:val="000000"/>
          <w:sz w:val="20"/>
        </w:rPr>
        <w:t>,</w:t>
      </w:r>
      <w:r w:rsidRPr="00A63160">
        <w:rPr>
          <w:i/>
          <w:iCs/>
          <w:sz w:val="20"/>
        </w:rPr>
        <w:t xml:space="preserve"> </w:t>
      </w:r>
      <w:r w:rsidRPr="00A63160">
        <w:rPr>
          <w:sz w:val="20"/>
        </w:rPr>
        <w:t>37–66.</w:t>
      </w:r>
    </w:p>
    <w:p w:rsidR="00A63160" w:rsidRPr="00A63160" w:rsidRDefault="00A63160" w:rsidP="00A63160">
      <w:pPr>
        <w:ind w:left="720" w:hanging="720"/>
        <w:rPr>
          <w:color w:val="000000"/>
          <w:sz w:val="20"/>
          <w:rtl/>
          <w:lang w:bidi="fa-IR"/>
        </w:rPr>
      </w:pPr>
      <w:r w:rsidRPr="00A63160">
        <w:rPr>
          <w:color w:val="000000"/>
          <w:sz w:val="20"/>
        </w:rPr>
        <w:t>Mackey, A. (2006). Feedback, noticing and instructed second language learning.</w:t>
      </w:r>
      <w:r w:rsidRPr="00A63160">
        <w:rPr>
          <w:color w:val="000000"/>
          <w:sz w:val="20"/>
          <w:rtl/>
          <w:lang w:bidi="fa-IR"/>
        </w:rPr>
        <w:t xml:space="preserve"> </w:t>
      </w:r>
      <w:r w:rsidRPr="00A63160">
        <w:rPr>
          <w:i/>
          <w:iCs/>
          <w:color w:val="000000"/>
          <w:sz w:val="20"/>
        </w:rPr>
        <w:t>Applied</w:t>
      </w:r>
      <w:r w:rsidRPr="00A63160">
        <w:rPr>
          <w:color w:val="000000"/>
          <w:sz w:val="20"/>
        </w:rPr>
        <w:t xml:space="preserve"> </w:t>
      </w:r>
      <w:r w:rsidRPr="00A63160">
        <w:rPr>
          <w:i/>
          <w:iCs/>
          <w:color w:val="000000"/>
          <w:sz w:val="20"/>
        </w:rPr>
        <w:t>Linguistics</w:t>
      </w:r>
      <w:r w:rsidRPr="00A63160">
        <w:rPr>
          <w:color w:val="000000"/>
          <w:sz w:val="20"/>
        </w:rPr>
        <w:t>,</w:t>
      </w:r>
      <w:r w:rsidRPr="00A63160">
        <w:rPr>
          <w:i/>
          <w:iCs/>
          <w:color w:val="000000"/>
          <w:sz w:val="20"/>
        </w:rPr>
        <w:t xml:space="preserve"> 27</w:t>
      </w:r>
      <w:r w:rsidRPr="00A63160">
        <w:rPr>
          <w:color w:val="000000"/>
          <w:sz w:val="20"/>
        </w:rPr>
        <w:t>(3), 405</w:t>
      </w:r>
      <w:r w:rsidRPr="00A63160">
        <w:rPr>
          <w:sz w:val="20"/>
        </w:rPr>
        <w:t>–4</w:t>
      </w:r>
      <w:r w:rsidRPr="00A63160">
        <w:rPr>
          <w:color w:val="000000"/>
          <w:sz w:val="20"/>
        </w:rPr>
        <w:t>30.</w:t>
      </w:r>
    </w:p>
    <w:p w:rsidR="00A63160" w:rsidRPr="00A63160" w:rsidRDefault="00A63160" w:rsidP="00A63160">
      <w:pPr>
        <w:ind w:left="720" w:hanging="720"/>
        <w:rPr>
          <w:sz w:val="20"/>
          <w:rtl/>
          <w:lang w:bidi="fa-IR"/>
        </w:rPr>
      </w:pPr>
      <w:r w:rsidRPr="00A63160">
        <w:rPr>
          <w:sz w:val="20"/>
        </w:rPr>
        <w:t>Nabel, T., &amp; Swain, M. (2002). Learner awareness of recasts in classroom</w:t>
      </w:r>
      <w:r w:rsidRPr="00A63160">
        <w:rPr>
          <w:sz w:val="20"/>
          <w:rtl/>
          <w:lang w:bidi="fa-IR"/>
        </w:rPr>
        <w:t xml:space="preserve"> </w:t>
      </w:r>
      <w:r w:rsidRPr="00A63160">
        <w:rPr>
          <w:sz w:val="20"/>
        </w:rPr>
        <w:t xml:space="preserve">interaction: A case study of an adult EFL student's second language learning. </w:t>
      </w:r>
      <w:r w:rsidRPr="00A63160">
        <w:rPr>
          <w:i/>
          <w:iCs/>
          <w:sz w:val="20"/>
        </w:rPr>
        <w:t>Language Awareness</w:t>
      </w:r>
      <w:r w:rsidRPr="00A63160">
        <w:rPr>
          <w:sz w:val="20"/>
        </w:rPr>
        <w:t xml:space="preserve">, </w:t>
      </w:r>
      <w:r w:rsidRPr="00A63160">
        <w:rPr>
          <w:i/>
          <w:iCs/>
          <w:sz w:val="20"/>
        </w:rPr>
        <w:t>11</w:t>
      </w:r>
      <w:r w:rsidRPr="00A63160">
        <w:rPr>
          <w:sz w:val="20"/>
        </w:rPr>
        <w:t>(1), 43–63.</w:t>
      </w:r>
    </w:p>
    <w:p w:rsidR="00A63160" w:rsidRPr="00A63160" w:rsidRDefault="00A63160" w:rsidP="00A63160">
      <w:pPr>
        <w:ind w:left="720" w:hanging="720"/>
        <w:rPr>
          <w:rFonts w:eastAsia="AdvP8588"/>
          <w:sz w:val="20"/>
          <w:rtl/>
          <w:lang w:bidi="fa-IR"/>
        </w:rPr>
      </w:pPr>
      <w:r w:rsidRPr="00A63160">
        <w:rPr>
          <w:sz w:val="20"/>
        </w:rPr>
        <w:t>Nagata, N. (1993). Intelligent computer feedback for second language instruction.</w:t>
      </w:r>
      <w:r w:rsidRPr="00A63160">
        <w:rPr>
          <w:sz w:val="20"/>
          <w:rtl/>
        </w:rPr>
        <w:t xml:space="preserve"> </w:t>
      </w:r>
      <w:r w:rsidRPr="00A63160">
        <w:rPr>
          <w:rFonts w:eastAsia="AdvP8588"/>
          <w:i/>
          <w:iCs/>
          <w:sz w:val="20"/>
        </w:rPr>
        <w:t>The Modern</w:t>
      </w:r>
      <w:r w:rsidRPr="00A63160">
        <w:rPr>
          <w:rFonts w:eastAsia="AdvP8588"/>
          <w:i/>
          <w:iCs/>
          <w:sz w:val="20"/>
          <w:rtl/>
          <w:lang w:bidi="fa-IR"/>
        </w:rPr>
        <w:t xml:space="preserve"> </w:t>
      </w:r>
      <w:r w:rsidRPr="00A63160">
        <w:rPr>
          <w:rFonts w:eastAsia="AdvP8588"/>
          <w:i/>
          <w:iCs/>
          <w:sz w:val="20"/>
        </w:rPr>
        <w:t>Language Journal</w:t>
      </w:r>
      <w:r w:rsidRPr="00A63160">
        <w:rPr>
          <w:sz w:val="20"/>
        </w:rPr>
        <w:t xml:space="preserve">, </w:t>
      </w:r>
      <w:r w:rsidRPr="00A63160">
        <w:rPr>
          <w:rFonts w:eastAsia="AdvP8588"/>
          <w:i/>
          <w:iCs/>
          <w:sz w:val="20"/>
        </w:rPr>
        <w:t>77</w:t>
      </w:r>
      <w:r w:rsidRPr="00A63160">
        <w:rPr>
          <w:rFonts w:eastAsia="AdvP8588"/>
          <w:sz w:val="20"/>
        </w:rPr>
        <w:t>(3)</w:t>
      </w:r>
      <w:r w:rsidRPr="00A63160">
        <w:rPr>
          <w:sz w:val="20"/>
        </w:rPr>
        <w:t>, 330–339.</w:t>
      </w:r>
    </w:p>
    <w:p w:rsidR="00A63160" w:rsidRPr="00A63160" w:rsidRDefault="00A63160" w:rsidP="00A63160">
      <w:pPr>
        <w:ind w:left="720" w:hanging="720"/>
        <w:rPr>
          <w:sz w:val="20"/>
          <w:rtl/>
          <w:lang w:bidi="fa-IR"/>
        </w:rPr>
      </w:pPr>
      <w:r w:rsidRPr="00A63160">
        <w:rPr>
          <w:color w:val="000000"/>
          <w:sz w:val="20"/>
        </w:rPr>
        <w:t>Nassaji, H. (2007). Elicitation and Reformulation and their Relationship with</w:t>
      </w:r>
      <w:r w:rsidRPr="00A63160">
        <w:rPr>
          <w:color w:val="000000"/>
          <w:sz w:val="20"/>
          <w:rtl/>
        </w:rPr>
        <w:t xml:space="preserve"> </w:t>
      </w:r>
      <w:r w:rsidRPr="00A63160">
        <w:rPr>
          <w:color w:val="000000"/>
          <w:sz w:val="20"/>
        </w:rPr>
        <w:t xml:space="preserve">Learner Repair in Dyadic Interaction. </w:t>
      </w:r>
      <w:r w:rsidRPr="00A63160">
        <w:rPr>
          <w:i/>
          <w:iCs/>
          <w:color w:val="000000"/>
          <w:sz w:val="20"/>
        </w:rPr>
        <w:t>Language Learning</w:t>
      </w:r>
      <w:r w:rsidRPr="00A63160">
        <w:rPr>
          <w:color w:val="000000"/>
          <w:sz w:val="20"/>
        </w:rPr>
        <w:t xml:space="preserve">, </w:t>
      </w:r>
      <w:r w:rsidRPr="00A63160">
        <w:rPr>
          <w:i/>
          <w:iCs/>
          <w:color w:val="000000"/>
          <w:sz w:val="20"/>
        </w:rPr>
        <w:t>57</w:t>
      </w:r>
      <w:r w:rsidRPr="00A63160">
        <w:rPr>
          <w:color w:val="000000"/>
          <w:sz w:val="20"/>
        </w:rPr>
        <w:t>(4), 511</w:t>
      </w:r>
      <w:r w:rsidRPr="00A63160">
        <w:rPr>
          <w:sz w:val="20"/>
        </w:rPr>
        <w:t>–</w:t>
      </w:r>
      <w:r w:rsidRPr="00A63160">
        <w:rPr>
          <w:color w:val="000000"/>
          <w:sz w:val="20"/>
        </w:rPr>
        <w:t xml:space="preserve">548. </w:t>
      </w:r>
    </w:p>
    <w:p w:rsidR="00A63160" w:rsidRPr="00A63160" w:rsidRDefault="00A63160" w:rsidP="00A63160">
      <w:pPr>
        <w:ind w:left="720" w:hanging="720"/>
        <w:rPr>
          <w:sz w:val="20"/>
        </w:rPr>
      </w:pPr>
      <w:r w:rsidRPr="00A63160">
        <w:rPr>
          <w:sz w:val="20"/>
        </w:rPr>
        <w:t>Nelson, K. E., Carskaddon, G., &amp; Bonvillian, J. D.  (1973). Syntax</w:t>
      </w:r>
      <w:r w:rsidRPr="00A63160">
        <w:rPr>
          <w:sz w:val="20"/>
          <w:rtl/>
        </w:rPr>
        <w:t xml:space="preserve"> </w:t>
      </w:r>
      <w:r w:rsidRPr="00A63160">
        <w:rPr>
          <w:sz w:val="20"/>
        </w:rPr>
        <w:t>acquisition:</w:t>
      </w:r>
      <w:r w:rsidRPr="00A63160">
        <w:rPr>
          <w:sz w:val="20"/>
          <w:rtl/>
          <w:lang w:bidi="fa-IR"/>
        </w:rPr>
        <w:t xml:space="preserve"> </w:t>
      </w:r>
      <w:r w:rsidRPr="00A63160">
        <w:rPr>
          <w:sz w:val="20"/>
        </w:rPr>
        <w:t>Impact of experimental variation in adult verbal interactions</w:t>
      </w:r>
      <w:r w:rsidRPr="00A63160">
        <w:rPr>
          <w:sz w:val="20"/>
          <w:rtl/>
        </w:rPr>
        <w:t xml:space="preserve"> </w:t>
      </w:r>
      <w:r w:rsidRPr="00A63160">
        <w:rPr>
          <w:sz w:val="20"/>
        </w:rPr>
        <w:t>with the</w:t>
      </w:r>
      <w:r w:rsidRPr="00A63160">
        <w:rPr>
          <w:sz w:val="20"/>
          <w:rtl/>
        </w:rPr>
        <w:t xml:space="preserve"> </w:t>
      </w:r>
      <w:r w:rsidRPr="00A63160">
        <w:rPr>
          <w:sz w:val="20"/>
        </w:rPr>
        <w:t>child. </w:t>
      </w:r>
      <w:r w:rsidRPr="00A63160">
        <w:rPr>
          <w:i/>
          <w:iCs/>
          <w:sz w:val="20"/>
        </w:rPr>
        <w:t>Child Development</w:t>
      </w:r>
      <w:r w:rsidRPr="00A63160">
        <w:rPr>
          <w:sz w:val="20"/>
        </w:rPr>
        <w:t xml:space="preserve">, </w:t>
      </w:r>
      <w:r w:rsidRPr="00A63160">
        <w:rPr>
          <w:i/>
          <w:iCs/>
          <w:sz w:val="20"/>
        </w:rPr>
        <w:t>44</w:t>
      </w:r>
      <w:r w:rsidRPr="00A63160">
        <w:rPr>
          <w:sz w:val="20"/>
        </w:rPr>
        <w:t>, 497–504.</w:t>
      </w:r>
    </w:p>
    <w:p w:rsidR="00A63160" w:rsidRPr="00A63160" w:rsidRDefault="00A63160" w:rsidP="00A63160">
      <w:pPr>
        <w:ind w:left="720" w:hanging="720"/>
        <w:rPr>
          <w:sz w:val="20"/>
        </w:rPr>
      </w:pPr>
      <w:r w:rsidRPr="00A63160">
        <w:rPr>
          <w:sz w:val="20"/>
        </w:rPr>
        <w:t>Nelson, K. E., Denninger, M., Bonvillian, J. D., Kaplan, B., &amp; Baker, N. (1984).</w:t>
      </w:r>
      <w:r w:rsidRPr="00A63160">
        <w:rPr>
          <w:sz w:val="20"/>
          <w:rtl/>
          <w:lang w:bidi="fa-IR"/>
        </w:rPr>
        <w:t xml:space="preserve"> </w:t>
      </w:r>
      <w:r w:rsidRPr="00A63160">
        <w:rPr>
          <w:sz w:val="20"/>
        </w:rPr>
        <w:t>Maternal input adjustments and non-adjustments as related to children's</w:t>
      </w:r>
      <w:r w:rsidRPr="00A63160">
        <w:rPr>
          <w:sz w:val="20"/>
          <w:rtl/>
        </w:rPr>
        <w:t xml:space="preserve"> </w:t>
      </w:r>
      <w:r w:rsidRPr="00A63160">
        <w:rPr>
          <w:sz w:val="20"/>
        </w:rPr>
        <w:t xml:space="preserve">advances and to language acquisition theories. In A. D. Pellegrini, &amp; T. D. Yawkey (Eds.), </w:t>
      </w:r>
      <w:r w:rsidRPr="00A63160">
        <w:rPr>
          <w:i/>
          <w:iCs/>
          <w:sz w:val="20"/>
        </w:rPr>
        <w:t>The development of oral and written language in social</w:t>
      </w:r>
      <w:r w:rsidRPr="00A63160">
        <w:rPr>
          <w:i/>
          <w:iCs/>
          <w:sz w:val="20"/>
          <w:rtl/>
        </w:rPr>
        <w:t xml:space="preserve"> </w:t>
      </w:r>
      <w:r w:rsidRPr="00A63160">
        <w:rPr>
          <w:i/>
          <w:iCs/>
          <w:sz w:val="20"/>
        </w:rPr>
        <w:t xml:space="preserve">contexts </w:t>
      </w:r>
      <w:r w:rsidRPr="00A63160">
        <w:rPr>
          <w:sz w:val="20"/>
        </w:rPr>
        <w:t>(pp. 31–56). Norwood, NJ: Ablex.</w:t>
      </w:r>
    </w:p>
    <w:p w:rsidR="00A63160" w:rsidRPr="00A63160" w:rsidRDefault="00A63160" w:rsidP="00A63160">
      <w:pPr>
        <w:ind w:left="720" w:hanging="720"/>
        <w:rPr>
          <w:sz w:val="20"/>
          <w:rtl/>
          <w:lang w:bidi="fa-IR"/>
        </w:rPr>
      </w:pPr>
      <w:r w:rsidRPr="00A63160">
        <w:rPr>
          <w:sz w:val="20"/>
        </w:rPr>
        <w:t>Nicholas, H., Lightbown, P. M., &amp; Spada, N. (2001). Recasts as feedback to</w:t>
      </w:r>
      <w:r w:rsidRPr="00A63160">
        <w:rPr>
          <w:sz w:val="20"/>
          <w:rtl/>
          <w:lang w:bidi="fa-IR"/>
        </w:rPr>
        <w:t xml:space="preserve"> </w:t>
      </w:r>
      <w:r w:rsidRPr="00A63160">
        <w:rPr>
          <w:sz w:val="20"/>
        </w:rPr>
        <w:t xml:space="preserve">language learners. </w:t>
      </w:r>
      <w:r w:rsidRPr="00A63160">
        <w:rPr>
          <w:i/>
          <w:iCs/>
          <w:sz w:val="20"/>
        </w:rPr>
        <w:t>Language Learning</w:t>
      </w:r>
      <w:r w:rsidRPr="00A63160">
        <w:rPr>
          <w:color w:val="000000"/>
          <w:sz w:val="20"/>
        </w:rPr>
        <w:t>,</w:t>
      </w:r>
      <w:r w:rsidRPr="00A63160">
        <w:rPr>
          <w:i/>
          <w:iCs/>
          <w:sz w:val="20"/>
        </w:rPr>
        <w:t xml:space="preserve"> 51</w:t>
      </w:r>
      <w:r w:rsidRPr="00A63160">
        <w:rPr>
          <w:sz w:val="20"/>
        </w:rPr>
        <w:t>(4)</w:t>
      </w:r>
      <w:r w:rsidRPr="00A63160">
        <w:rPr>
          <w:color w:val="000000"/>
          <w:sz w:val="20"/>
        </w:rPr>
        <w:t>,</w:t>
      </w:r>
      <w:r w:rsidRPr="00A63160">
        <w:rPr>
          <w:i/>
          <w:iCs/>
          <w:sz w:val="20"/>
        </w:rPr>
        <w:t xml:space="preserve"> </w:t>
      </w:r>
      <w:r w:rsidRPr="00A63160">
        <w:rPr>
          <w:sz w:val="20"/>
        </w:rPr>
        <w:t>719–758.</w:t>
      </w:r>
    </w:p>
    <w:p w:rsidR="00A63160" w:rsidRPr="00A63160" w:rsidRDefault="00A63160" w:rsidP="00A63160">
      <w:pPr>
        <w:ind w:left="720" w:hanging="720"/>
        <w:rPr>
          <w:sz w:val="20"/>
          <w:rtl/>
          <w:lang w:bidi="fa-IR"/>
        </w:rPr>
      </w:pPr>
      <w:r w:rsidRPr="00A63160">
        <w:rPr>
          <w:sz w:val="20"/>
        </w:rPr>
        <w:t>Panova, I., &amp; Lyster, R. (2002). Patterns of corrective feedback and uptake in an</w:t>
      </w:r>
      <w:r w:rsidRPr="00A63160">
        <w:rPr>
          <w:sz w:val="20"/>
          <w:rtl/>
        </w:rPr>
        <w:t xml:space="preserve"> </w:t>
      </w:r>
      <w:r w:rsidRPr="00A63160">
        <w:rPr>
          <w:sz w:val="20"/>
        </w:rPr>
        <w:t xml:space="preserve">adult ESL classroom. </w:t>
      </w:r>
      <w:r w:rsidRPr="00A63160">
        <w:rPr>
          <w:i/>
          <w:iCs/>
          <w:sz w:val="20"/>
        </w:rPr>
        <w:t>TESOL</w:t>
      </w:r>
      <w:r w:rsidRPr="00A63160">
        <w:rPr>
          <w:i/>
          <w:iCs/>
          <w:sz w:val="20"/>
          <w:rtl/>
          <w:lang w:bidi="fa-IR"/>
        </w:rPr>
        <w:t xml:space="preserve"> </w:t>
      </w:r>
      <w:r w:rsidRPr="00A63160">
        <w:rPr>
          <w:i/>
          <w:iCs/>
          <w:sz w:val="20"/>
        </w:rPr>
        <w:t>Quarterly</w:t>
      </w:r>
      <w:r w:rsidRPr="00A63160">
        <w:rPr>
          <w:color w:val="000000"/>
          <w:sz w:val="20"/>
        </w:rPr>
        <w:t>,</w:t>
      </w:r>
      <w:r w:rsidRPr="00A63160">
        <w:rPr>
          <w:i/>
          <w:iCs/>
          <w:sz w:val="20"/>
        </w:rPr>
        <w:t xml:space="preserve"> 36</w:t>
      </w:r>
      <w:r w:rsidRPr="00A63160">
        <w:rPr>
          <w:sz w:val="20"/>
        </w:rPr>
        <w:t>(4)</w:t>
      </w:r>
      <w:r w:rsidRPr="00A63160">
        <w:rPr>
          <w:color w:val="000000"/>
          <w:sz w:val="20"/>
        </w:rPr>
        <w:t>,</w:t>
      </w:r>
      <w:r w:rsidRPr="00A63160">
        <w:rPr>
          <w:i/>
          <w:iCs/>
          <w:sz w:val="20"/>
        </w:rPr>
        <w:t xml:space="preserve"> </w:t>
      </w:r>
      <w:r w:rsidRPr="00A63160">
        <w:rPr>
          <w:sz w:val="20"/>
        </w:rPr>
        <w:t>573</w:t>
      </w:r>
      <w:r w:rsidRPr="00A63160">
        <w:rPr>
          <w:color w:val="292526"/>
          <w:sz w:val="20"/>
        </w:rPr>
        <w:t>–</w:t>
      </w:r>
      <w:r w:rsidRPr="00A63160">
        <w:rPr>
          <w:sz w:val="20"/>
        </w:rPr>
        <w:t>595.</w:t>
      </w:r>
    </w:p>
    <w:p w:rsidR="00A63160" w:rsidRPr="00A63160" w:rsidRDefault="00A63160" w:rsidP="00A63160">
      <w:pPr>
        <w:ind w:left="720" w:hanging="720"/>
        <w:rPr>
          <w:color w:val="000000"/>
          <w:sz w:val="20"/>
          <w:rtl/>
          <w:lang w:bidi="fa-IR"/>
        </w:rPr>
      </w:pPr>
      <w:r w:rsidRPr="00A63160">
        <w:rPr>
          <w:color w:val="000000"/>
          <w:sz w:val="20"/>
        </w:rPr>
        <w:lastRenderedPageBreak/>
        <w:t>Pellettieri, J. (2000). Negotiation in cyberspace: The role of chatting in the</w:t>
      </w:r>
      <w:r w:rsidRPr="00A63160">
        <w:rPr>
          <w:color w:val="000000"/>
          <w:sz w:val="20"/>
          <w:rtl/>
        </w:rPr>
        <w:t xml:space="preserve"> </w:t>
      </w:r>
      <w:r w:rsidRPr="00A63160">
        <w:rPr>
          <w:color w:val="000000"/>
          <w:sz w:val="20"/>
        </w:rPr>
        <w:t>development of grammatical competence. In M. Warschauer, &amp; R. Kern</w:t>
      </w:r>
      <w:r w:rsidRPr="00A63160">
        <w:rPr>
          <w:color w:val="000000"/>
          <w:sz w:val="20"/>
          <w:rtl/>
        </w:rPr>
        <w:t xml:space="preserve"> </w:t>
      </w:r>
      <w:r w:rsidRPr="00A63160">
        <w:rPr>
          <w:color w:val="000000"/>
          <w:sz w:val="20"/>
        </w:rPr>
        <w:t xml:space="preserve">(Eds.), </w:t>
      </w:r>
      <w:r w:rsidRPr="00A63160">
        <w:rPr>
          <w:i/>
          <w:color w:val="000000"/>
          <w:sz w:val="20"/>
        </w:rPr>
        <w:t>Network-based Language Teaching: Concepts and Practice</w:t>
      </w:r>
      <w:r w:rsidRPr="00A63160">
        <w:rPr>
          <w:color w:val="000000"/>
          <w:sz w:val="20"/>
          <w:rtl/>
        </w:rPr>
        <w:t xml:space="preserve"> </w:t>
      </w:r>
      <w:r w:rsidRPr="00A63160">
        <w:rPr>
          <w:color w:val="000000"/>
          <w:sz w:val="20"/>
        </w:rPr>
        <w:t>(pp.</w:t>
      </w:r>
      <w:r w:rsidRPr="00A63160">
        <w:rPr>
          <w:color w:val="000000"/>
          <w:sz w:val="20"/>
          <w:rtl/>
        </w:rPr>
        <w:t xml:space="preserve"> </w:t>
      </w:r>
      <w:r w:rsidRPr="00A63160">
        <w:rPr>
          <w:color w:val="000000"/>
          <w:sz w:val="20"/>
        </w:rPr>
        <w:t>59</w:t>
      </w:r>
      <w:r w:rsidRPr="00A63160">
        <w:rPr>
          <w:sz w:val="20"/>
        </w:rPr>
        <w:t>–</w:t>
      </w:r>
      <w:r w:rsidRPr="00A63160">
        <w:rPr>
          <w:color w:val="000000"/>
          <w:sz w:val="20"/>
        </w:rPr>
        <w:t>86). New York: Cambridge University Press.</w:t>
      </w:r>
    </w:p>
    <w:p w:rsidR="00A63160" w:rsidRPr="00A63160" w:rsidRDefault="00A63160" w:rsidP="00A63160">
      <w:pPr>
        <w:ind w:left="720" w:hanging="720"/>
        <w:rPr>
          <w:color w:val="000000"/>
          <w:sz w:val="20"/>
          <w:rtl/>
          <w:lang w:bidi="fa-IR"/>
        </w:rPr>
      </w:pPr>
      <w:r w:rsidRPr="00A63160">
        <w:rPr>
          <w:color w:val="000000"/>
          <w:sz w:val="20"/>
        </w:rPr>
        <w:t>Razagifard, P., &amp; Rahimpour, M. (2010, May). The Effect of Computer-Mediated Corrective Feedback on the Development of Second Language Learners’ Grammar, Instructional Technology &amp; Distance Learning, 7(5).</w:t>
      </w:r>
    </w:p>
    <w:p w:rsidR="00A63160" w:rsidRPr="00A63160" w:rsidRDefault="00A63160" w:rsidP="00A63160">
      <w:pPr>
        <w:ind w:left="720" w:hanging="720"/>
        <w:rPr>
          <w:sz w:val="20"/>
          <w:rtl/>
          <w:lang w:bidi="fa-IR"/>
        </w:rPr>
      </w:pPr>
      <w:r w:rsidRPr="00A63160">
        <w:rPr>
          <w:sz w:val="20"/>
        </w:rPr>
        <w:t>Rezaei, S., Mozaffari, F., &amp; Hatef, A. (2011, March). Corrective Feedback in</w:t>
      </w:r>
      <w:r w:rsidRPr="00A63160">
        <w:rPr>
          <w:sz w:val="20"/>
          <w:rtl/>
        </w:rPr>
        <w:t xml:space="preserve"> </w:t>
      </w:r>
      <w:r w:rsidRPr="00A63160">
        <w:rPr>
          <w:sz w:val="20"/>
        </w:rPr>
        <w:t xml:space="preserve">SLA: Classroom Practice and Future Directions. </w:t>
      </w:r>
      <w:r w:rsidRPr="00A63160">
        <w:rPr>
          <w:i/>
          <w:iCs/>
          <w:sz w:val="20"/>
        </w:rPr>
        <w:t>International Journal of</w:t>
      </w:r>
      <w:r w:rsidRPr="00A63160">
        <w:rPr>
          <w:i/>
          <w:iCs/>
          <w:sz w:val="20"/>
          <w:rtl/>
        </w:rPr>
        <w:t xml:space="preserve"> </w:t>
      </w:r>
      <w:r w:rsidRPr="00A63160">
        <w:rPr>
          <w:i/>
          <w:iCs/>
          <w:sz w:val="20"/>
        </w:rPr>
        <w:t>English</w:t>
      </w:r>
      <w:r w:rsidRPr="00A63160">
        <w:rPr>
          <w:sz w:val="20"/>
        </w:rPr>
        <w:t xml:space="preserve"> </w:t>
      </w:r>
      <w:r w:rsidRPr="00A63160">
        <w:rPr>
          <w:i/>
          <w:iCs/>
          <w:sz w:val="20"/>
        </w:rPr>
        <w:t>Linguistics</w:t>
      </w:r>
      <w:r w:rsidRPr="00A63160">
        <w:rPr>
          <w:sz w:val="20"/>
        </w:rPr>
        <w:t>, 1(1), 21</w:t>
      </w:r>
      <w:r w:rsidRPr="00A63160">
        <w:rPr>
          <w:color w:val="292526"/>
          <w:sz w:val="20"/>
        </w:rPr>
        <w:t>–</w:t>
      </w:r>
      <w:r w:rsidRPr="00A63160">
        <w:rPr>
          <w:sz w:val="20"/>
        </w:rPr>
        <w:t>29.</w:t>
      </w:r>
    </w:p>
    <w:p w:rsidR="00A63160" w:rsidRPr="00A63160" w:rsidRDefault="00A63160" w:rsidP="00A63160">
      <w:pPr>
        <w:ind w:left="720" w:hanging="720"/>
        <w:rPr>
          <w:sz w:val="20"/>
          <w:rtl/>
          <w:lang w:bidi="fa-IR"/>
        </w:rPr>
      </w:pPr>
      <w:r w:rsidRPr="00A63160">
        <w:rPr>
          <w:sz w:val="20"/>
        </w:rPr>
        <w:t xml:space="preserve">Roper, W. J. (1977). Feedback in computer assisted instruction. </w:t>
      </w:r>
      <w:r w:rsidRPr="00A63160">
        <w:rPr>
          <w:i/>
          <w:iCs/>
          <w:sz w:val="20"/>
        </w:rPr>
        <w:t>Programmed</w:t>
      </w:r>
      <w:r w:rsidRPr="00A63160">
        <w:rPr>
          <w:sz w:val="20"/>
          <w:rtl/>
          <w:lang w:bidi="fa-IR"/>
        </w:rPr>
        <w:t xml:space="preserve"> </w:t>
      </w:r>
      <w:r w:rsidRPr="00A63160">
        <w:rPr>
          <w:i/>
          <w:iCs/>
          <w:sz w:val="20"/>
        </w:rPr>
        <w:t>Learning</w:t>
      </w:r>
      <w:r w:rsidRPr="00A63160">
        <w:rPr>
          <w:sz w:val="20"/>
        </w:rPr>
        <w:t xml:space="preserve"> </w:t>
      </w:r>
      <w:r w:rsidRPr="00A63160">
        <w:rPr>
          <w:i/>
          <w:iCs/>
          <w:sz w:val="20"/>
        </w:rPr>
        <w:t>and</w:t>
      </w:r>
      <w:r w:rsidRPr="00A63160">
        <w:rPr>
          <w:sz w:val="20"/>
        </w:rPr>
        <w:t xml:space="preserve"> </w:t>
      </w:r>
      <w:r w:rsidRPr="00A63160">
        <w:rPr>
          <w:i/>
          <w:iCs/>
          <w:sz w:val="20"/>
        </w:rPr>
        <w:t>Educational</w:t>
      </w:r>
      <w:r w:rsidRPr="00A63160">
        <w:rPr>
          <w:sz w:val="20"/>
        </w:rPr>
        <w:t xml:space="preserve"> </w:t>
      </w:r>
      <w:r w:rsidRPr="00A63160">
        <w:rPr>
          <w:i/>
          <w:iCs/>
          <w:sz w:val="20"/>
        </w:rPr>
        <w:t>Technology</w:t>
      </w:r>
      <w:r w:rsidRPr="00A63160">
        <w:rPr>
          <w:sz w:val="20"/>
        </w:rPr>
        <w:t xml:space="preserve">, </w:t>
      </w:r>
      <w:r w:rsidRPr="00A63160">
        <w:rPr>
          <w:i/>
          <w:iCs/>
          <w:sz w:val="20"/>
        </w:rPr>
        <w:t>14</w:t>
      </w:r>
      <w:r w:rsidRPr="00A63160">
        <w:rPr>
          <w:sz w:val="20"/>
        </w:rPr>
        <w:t>(1), 43</w:t>
      </w:r>
      <w:r w:rsidRPr="00A63160">
        <w:rPr>
          <w:color w:val="292526"/>
          <w:sz w:val="20"/>
        </w:rPr>
        <w:t>–</w:t>
      </w:r>
      <w:r w:rsidRPr="00A63160">
        <w:rPr>
          <w:sz w:val="20"/>
        </w:rPr>
        <w:t>49.</w:t>
      </w:r>
    </w:p>
    <w:p w:rsidR="00A63160" w:rsidRPr="00A63160" w:rsidRDefault="00A63160" w:rsidP="00A63160">
      <w:pPr>
        <w:ind w:left="720" w:hanging="720"/>
        <w:rPr>
          <w:sz w:val="20"/>
          <w:rtl/>
          <w:lang w:bidi="fa-IR"/>
        </w:rPr>
      </w:pPr>
      <w:r w:rsidRPr="00A63160">
        <w:rPr>
          <w:sz w:val="20"/>
        </w:rPr>
        <w:t>Russell, J., &amp; Spada, N. (2006). The effectiveness of corrective feedback for the</w:t>
      </w:r>
      <w:r w:rsidRPr="00A63160">
        <w:rPr>
          <w:sz w:val="20"/>
          <w:rtl/>
          <w:lang w:bidi="fa-IR"/>
        </w:rPr>
        <w:t xml:space="preserve"> </w:t>
      </w:r>
      <w:r w:rsidRPr="00A63160">
        <w:rPr>
          <w:sz w:val="20"/>
        </w:rPr>
        <w:t>acquisition of L2 grammar. In J. D. Norris, &amp; L. Ortega (Eds.),</w:t>
      </w:r>
      <w:r w:rsidRPr="00A63160">
        <w:rPr>
          <w:sz w:val="20"/>
          <w:rtl/>
        </w:rPr>
        <w:t xml:space="preserve"> </w:t>
      </w:r>
      <w:r w:rsidRPr="00A63160">
        <w:rPr>
          <w:i/>
          <w:iCs/>
          <w:sz w:val="20"/>
        </w:rPr>
        <w:t>Synthesizing</w:t>
      </w:r>
      <w:r w:rsidRPr="00A63160">
        <w:rPr>
          <w:sz w:val="20"/>
        </w:rPr>
        <w:t xml:space="preserve"> </w:t>
      </w:r>
      <w:r w:rsidRPr="00A63160">
        <w:rPr>
          <w:i/>
          <w:iCs/>
          <w:sz w:val="20"/>
        </w:rPr>
        <w:t>Research on Language Learning And Teaching</w:t>
      </w:r>
      <w:r w:rsidRPr="00A63160">
        <w:rPr>
          <w:sz w:val="20"/>
        </w:rPr>
        <w:t xml:space="preserve"> (pp. 133–164). Philadelphia: John Benjamins.</w:t>
      </w:r>
    </w:p>
    <w:p w:rsidR="00A63160" w:rsidRPr="00A63160" w:rsidRDefault="00A63160" w:rsidP="00A63160">
      <w:pPr>
        <w:ind w:left="720" w:hanging="720"/>
        <w:rPr>
          <w:sz w:val="20"/>
          <w:rtl/>
          <w:lang w:bidi="fa-IR"/>
        </w:rPr>
      </w:pPr>
      <w:r w:rsidRPr="00A63160">
        <w:rPr>
          <w:sz w:val="20"/>
        </w:rPr>
        <w:t>Sachs, R., &amp; Suh, B., (2007). Textually enhanced recasts, learner awareness, and</w:t>
      </w:r>
      <w:r w:rsidRPr="00A63160">
        <w:rPr>
          <w:sz w:val="20"/>
          <w:rtl/>
          <w:lang w:bidi="fa-IR"/>
        </w:rPr>
        <w:t xml:space="preserve"> </w:t>
      </w:r>
      <w:r w:rsidRPr="00A63160">
        <w:rPr>
          <w:sz w:val="20"/>
        </w:rPr>
        <w:t>L2 outcomes in synchronous computer-mediated interaction. In. A.</w:t>
      </w:r>
      <w:r w:rsidRPr="00A63160">
        <w:rPr>
          <w:sz w:val="20"/>
          <w:rtl/>
        </w:rPr>
        <w:t xml:space="preserve"> </w:t>
      </w:r>
      <w:r w:rsidRPr="00A63160">
        <w:rPr>
          <w:sz w:val="20"/>
        </w:rPr>
        <w:t xml:space="preserve">Mackey (Ed.), </w:t>
      </w:r>
      <w:r w:rsidRPr="00A63160">
        <w:rPr>
          <w:i/>
          <w:iCs/>
          <w:sz w:val="20"/>
        </w:rPr>
        <w:t>Conversational interaction in second language</w:t>
      </w:r>
      <w:r w:rsidRPr="00A63160">
        <w:rPr>
          <w:i/>
          <w:iCs/>
          <w:sz w:val="20"/>
          <w:rtl/>
        </w:rPr>
        <w:t xml:space="preserve"> </w:t>
      </w:r>
      <w:r w:rsidRPr="00A63160">
        <w:rPr>
          <w:i/>
          <w:iCs/>
          <w:sz w:val="20"/>
        </w:rPr>
        <w:t xml:space="preserve">acquisition: A collection of empirical studies </w:t>
      </w:r>
      <w:r w:rsidRPr="00A63160">
        <w:rPr>
          <w:sz w:val="20"/>
        </w:rPr>
        <w:t>(pp. 197–227). Oxford:</w:t>
      </w:r>
      <w:r w:rsidRPr="00A63160">
        <w:rPr>
          <w:sz w:val="20"/>
          <w:rtl/>
        </w:rPr>
        <w:t xml:space="preserve"> </w:t>
      </w:r>
      <w:r w:rsidRPr="00A63160">
        <w:rPr>
          <w:sz w:val="20"/>
        </w:rPr>
        <w:t>Oxford University Press.</w:t>
      </w:r>
    </w:p>
    <w:p w:rsidR="00A63160" w:rsidRPr="00A63160" w:rsidRDefault="00A63160" w:rsidP="00A63160">
      <w:pPr>
        <w:ind w:left="720" w:hanging="720"/>
        <w:rPr>
          <w:sz w:val="20"/>
          <w:rtl/>
        </w:rPr>
      </w:pPr>
      <w:r w:rsidRPr="00A63160">
        <w:rPr>
          <w:sz w:val="20"/>
        </w:rPr>
        <w:t>Sanz, C. (2004). Computer delivered implicit versus explicit feedback in</w:t>
      </w:r>
      <w:r w:rsidRPr="00A63160">
        <w:rPr>
          <w:sz w:val="20"/>
          <w:rtl/>
        </w:rPr>
        <w:t xml:space="preserve"> </w:t>
      </w:r>
      <w:r w:rsidRPr="00A63160">
        <w:rPr>
          <w:sz w:val="20"/>
        </w:rPr>
        <w:t>processing instruction. In B. Van Patten (Ed.), Processing instruction:</w:t>
      </w:r>
      <w:r w:rsidRPr="00A63160">
        <w:rPr>
          <w:sz w:val="20"/>
          <w:rtl/>
        </w:rPr>
        <w:t xml:space="preserve"> </w:t>
      </w:r>
      <w:r w:rsidRPr="00A63160">
        <w:rPr>
          <w:sz w:val="20"/>
        </w:rPr>
        <w:t>theory, research and commentary (pp. 241–255). NJ: Lawrence Erlbaum.</w:t>
      </w:r>
    </w:p>
    <w:p w:rsidR="00A63160" w:rsidRPr="00A63160" w:rsidRDefault="00A63160" w:rsidP="00A63160">
      <w:pPr>
        <w:ind w:left="720" w:hanging="720"/>
        <w:rPr>
          <w:sz w:val="20"/>
          <w:rtl/>
        </w:rPr>
      </w:pPr>
      <w:r w:rsidRPr="00A63160">
        <w:rPr>
          <w:sz w:val="20"/>
        </w:rPr>
        <w:t>Sauro, s. (2009, February). Computer-mediated corrective feedback and the</w:t>
      </w:r>
      <w:r w:rsidRPr="00A63160">
        <w:rPr>
          <w:sz w:val="20"/>
          <w:rtl/>
        </w:rPr>
        <w:t xml:space="preserve"> </w:t>
      </w:r>
      <w:r w:rsidRPr="00A63160">
        <w:rPr>
          <w:sz w:val="20"/>
        </w:rPr>
        <w:t>development of L2 Grammar. Language Learning and Technology, 13(1),</w:t>
      </w:r>
      <w:r w:rsidRPr="00A63160">
        <w:rPr>
          <w:sz w:val="20"/>
          <w:rtl/>
        </w:rPr>
        <w:t xml:space="preserve"> </w:t>
      </w:r>
      <w:r w:rsidRPr="00A63160">
        <w:rPr>
          <w:sz w:val="20"/>
        </w:rPr>
        <w:t>96–120. Retrieved April, 19, 2010, from</w:t>
      </w:r>
      <w:r w:rsidRPr="00A63160">
        <w:rPr>
          <w:sz w:val="20"/>
          <w:rtl/>
        </w:rPr>
        <w:t xml:space="preserve"> </w:t>
      </w:r>
      <w:hyperlink r:id="rId23" w:history="1">
        <w:r w:rsidRPr="00A63160">
          <w:rPr>
            <w:rStyle w:val="Hyperlink"/>
            <w:rFonts w:asciiTheme="majorBidi" w:hAnsiTheme="majorBidi" w:cstheme="majorBidi"/>
            <w:sz w:val="20"/>
          </w:rPr>
          <w:t>http://llt.msu.edu/vol13num1/sauro.pdf</w:t>
        </w:r>
      </w:hyperlink>
      <w:r w:rsidRPr="00A63160">
        <w:rPr>
          <w:sz w:val="20"/>
        </w:rPr>
        <w:t xml:space="preserve"> </w:t>
      </w:r>
    </w:p>
    <w:p w:rsidR="00A63160" w:rsidRPr="00A63160" w:rsidRDefault="00A63160" w:rsidP="00A63160">
      <w:pPr>
        <w:ind w:left="720" w:hanging="720"/>
        <w:rPr>
          <w:sz w:val="20"/>
          <w:rtl/>
          <w:lang w:bidi="fa-IR"/>
        </w:rPr>
      </w:pPr>
      <w:r w:rsidRPr="00A63160">
        <w:rPr>
          <w:sz w:val="20"/>
        </w:rPr>
        <w:t>Schmidt, R. (1990). The role of consciousness in second language learning.</w:t>
      </w:r>
      <w:r w:rsidRPr="00A63160">
        <w:rPr>
          <w:sz w:val="20"/>
          <w:rtl/>
          <w:lang w:bidi="fa-IR"/>
        </w:rPr>
        <w:t xml:space="preserve"> </w:t>
      </w:r>
      <w:r w:rsidRPr="00A63160">
        <w:rPr>
          <w:i/>
          <w:iCs/>
          <w:sz w:val="20"/>
        </w:rPr>
        <w:t>Applied Linguistics</w:t>
      </w:r>
      <w:r w:rsidRPr="00A63160">
        <w:rPr>
          <w:sz w:val="20"/>
        </w:rPr>
        <w:t>, 11(2), 129–158.</w:t>
      </w:r>
    </w:p>
    <w:p w:rsidR="00A63160" w:rsidRPr="00A63160" w:rsidRDefault="00A63160" w:rsidP="00A63160">
      <w:pPr>
        <w:ind w:left="720" w:hanging="720"/>
        <w:rPr>
          <w:sz w:val="20"/>
        </w:rPr>
      </w:pPr>
      <w:r w:rsidRPr="00A63160">
        <w:rPr>
          <w:sz w:val="20"/>
        </w:rPr>
        <w:t>Schmidt, R. (1995). Consciousness and foreign language learning: A tutorial on</w:t>
      </w:r>
      <w:r w:rsidRPr="00A63160">
        <w:rPr>
          <w:sz w:val="20"/>
          <w:rtl/>
        </w:rPr>
        <w:t xml:space="preserve"> </w:t>
      </w:r>
      <w:r w:rsidRPr="00A63160">
        <w:rPr>
          <w:sz w:val="20"/>
        </w:rPr>
        <w:t>the role of attention and</w:t>
      </w:r>
      <w:r w:rsidRPr="00A63160">
        <w:rPr>
          <w:sz w:val="20"/>
          <w:rtl/>
        </w:rPr>
        <w:t xml:space="preserve"> </w:t>
      </w:r>
      <w:r w:rsidRPr="00A63160">
        <w:rPr>
          <w:sz w:val="20"/>
        </w:rPr>
        <w:t>awareness in learning. In R, Schmidt (Ed.), Attention and awareness in foreign</w:t>
      </w:r>
      <w:r w:rsidRPr="00A63160">
        <w:rPr>
          <w:sz w:val="20"/>
          <w:rtl/>
        </w:rPr>
        <w:t xml:space="preserve"> </w:t>
      </w:r>
      <w:r w:rsidRPr="00A63160">
        <w:rPr>
          <w:sz w:val="20"/>
        </w:rPr>
        <w:t>language learning (pp. 1–63).</w:t>
      </w:r>
      <w:r w:rsidRPr="00A63160">
        <w:rPr>
          <w:sz w:val="20"/>
          <w:rtl/>
        </w:rPr>
        <w:t xml:space="preserve"> </w:t>
      </w:r>
      <w:r w:rsidRPr="00A63160">
        <w:rPr>
          <w:sz w:val="20"/>
        </w:rPr>
        <w:t>Honolulu: University of Hawaii Press.</w:t>
      </w:r>
    </w:p>
    <w:p w:rsidR="00A63160" w:rsidRPr="00A63160" w:rsidRDefault="00A63160" w:rsidP="00A63160">
      <w:pPr>
        <w:ind w:left="720" w:hanging="720"/>
        <w:rPr>
          <w:sz w:val="20"/>
        </w:rPr>
      </w:pPr>
      <w:r w:rsidRPr="00A63160">
        <w:rPr>
          <w:sz w:val="20"/>
        </w:rPr>
        <w:t>Schmidt, R. (2001). Attention. In P. Robinson (Ed</w:t>
      </w:r>
      <w:r w:rsidRPr="00A63160">
        <w:rPr>
          <w:i/>
          <w:iCs/>
          <w:sz w:val="20"/>
        </w:rPr>
        <w:t>.</w:t>
      </w:r>
      <w:r w:rsidRPr="00A63160">
        <w:rPr>
          <w:sz w:val="20"/>
        </w:rPr>
        <w:t xml:space="preserve">), </w:t>
      </w:r>
      <w:r w:rsidRPr="00A63160">
        <w:rPr>
          <w:i/>
          <w:iCs/>
          <w:sz w:val="20"/>
        </w:rPr>
        <w:t>Cognition and second</w:t>
      </w:r>
      <w:r w:rsidRPr="00A63160">
        <w:rPr>
          <w:i/>
          <w:iCs/>
          <w:sz w:val="20"/>
          <w:rtl/>
        </w:rPr>
        <w:t xml:space="preserve"> </w:t>
      </w:r>
      <w:r w:rsidRPr="00A63160">
        <w:rPr>
          <w:i/>
          <w:iCs/>
          <w:sz w:val="20"/>
        </w:rPr>
        <w:t xml:space="preserve">language acquisition </w:t>
      </w:r>
      <w:r w:rsidRPr="00A63160">
        <w:rPr>
          <w:sz w:val="20"/>
        </w:rPr>
        <w:t>(pp. 3–32).</w:t>
      </w:r>
      <w:r w:rsidRPr="00A63160">
        <w:rPr>
          <w:sz w:val="20"/>
          <w:rtl/>
          <w:lang w:bidi="fa-IR"/>
        </w:rPr>
        <w:t xml:space="preserve"> </w:t>
      </w:r>
      <w:r w:rsidRPr="00A63160">
        <w:rPr>
          <w:sz w:val="20"/>
        </w:rPr>
        <w:t>Cambridge: Cambridge University Press.</w:t>
      </w:r>
    </w:p>
    <w:p w:rsidR="00A63160" w:rsidRPr="00A63160" w:rsidRDefault="00A63160" w:rsidP="00A63160">
      <w:pPr>
        <w:ind w:left="720" w:hanging="720"/>
        <w:rPr>
          <w:sz w:val="20"/>
        </w:rPr>
      </w:pPr>
      <w:r w:rsidRPr="00A63160">
        <w:rPr>
          <w:sz w:val="20"/>
        </w:rPr>
        <w:t>Sheen, Y. (2007). The effect of focused written corrective feedback and language</w:t>
      </w:r>
      <w:r w:rsidRPr="00A63160">
        <w:rPr>
          <w:sz w:val="20"/>
          <w:rtl/>
          <w:lang w:bidi="fa-IR"/>
        </w:rPr>
        <w:t xml:space="preserve"> </w:t>
      </w:r>
      <w:r w:rsidRPr="00A63160">
        <w:rPr>
          <w:sz w:val="20"/>
        </w:rPr>
        <w:t xml:space="preserve">aptitude on ESL learners’ acquisition of articles. </w:t>
      </w:r>
      <w:r w:rsidRPr="00A63160">
        <w:rPr>
          <w:i/>
          <w:iCs/>
          <w:sz w:val="20"/>
        </w:rPr>
        <w:t>TESOL Quarterly</w:t>
      </w:r>
      <w:r w:rsidRPr="00A63160">
        <w:rPr>
          <w:sz w:val="20"/>
        </w:rPr>
        <w:t xml:space="preserve">, </w:t>
      </w:r>
      <w:r w:rsidRPr="00A63160">
        <w:rPr>
          <w:i/>
          <w:iCs/>
          <w:sz w:val="20"/>
        </w:rPr>
        <w:t>41</w:t>
      </w:r>
      <w:r w:rsidRPr="00A63160">
        <w:rPr>
          <w:sz w:val="20"/>
        </w:rPr>
        <w:t>(2),</w:t>
      </w:r>
      <w:r w:rsidRPr="00A63160">
        <w:rPr>
          <w:sz w:val="20"/>
          <w:rtl/>
        </w:rPr>
        <w:t xml:space="preserve"> </w:t>
      </w:r>
      <w:r w:rsidRPr="00A63160">
        <w:rPr>
          <w:sz w:val="20"/>
        </w:rPr>
        <w:t>255–283.</w:t>
      </w:r>
    </w:p>
    <w:p w:rsidR="00A63160" w:rsidRPr="00A63160" w:rsidRDefault="00A63160" w:rsidP="00A63160">
      <w:pPr>
        <w:ind w:left="720" w:hanging="720"/>
        <w:rPr>
          <w:sz w:val="20"/>
        </w:rPr>
      </w:pPr>
      <w:r w:rsidRPr="00A63160">
        <w:rPr>
          <w:sz w:val="20"/>
        </w:rPr>
        <w:t>Sheen, Y. (2010b). Differential effects of oral and written corrective feedback in</w:t>
      </w:r>
      <w:r w:rsidRPr="00A63160">
        <w:rPr>
          <w:sz w:val="20"/>
          <w:rtl/>
          <w:lang w:bidi="fa-IR"/>
        </w:rPr>
        <w:t xml:space="preserve"> </w:t>
      </w:r>
      <w:r w:rsidRPr="00A63160">
        <w:rPr>
          <w:sz w:val="20"/>
        </w:rPr>
        <w:t xml:space="preserve">the ESL classroom. </w:t>
      </w:r>
      <w:r w:rsidRPr="00A63160">
        <w:rPr>
          <w:i/>
          <w:iCs/>
          <w:sz w:val="20"/>
        </w:rPr>
        <w:t>Studies in Second Language Acquisition</w:t>
      </w:r>
      <w:r w:rsidRPr="00A63160">
        <w:rPr>
          <w:sz w:val="20"/>
        </w:rPr>
        <w:t>,</w:t>
      </w:r>
      <w:r w:rsidRPr="00A63160">
        <w:rPr>
          <w:i/>
          <w:iCs/>
          <w:sz w:val="20"/>
        </w:rPr>
        <w:t xml:space="preserve"> 32</w:t>
      </w:r>
      <w:r w:rsidRPr="00A63160">
        <w:rPr>
          <w:sz w:val="20"/>
        </w:rPr>
        <w:t>(2), 203–234.</w:t>
      </w:r>
    </w:p>
    <w:p w:rsidR="00A63160" w:rsidRPr="00A63160" w:rsidRDefault="00A63160" w:rsidP="00A63160">
      <w:pPr>
        <w:ind w:left="720" w:hanging="720"/>
        <w:rPr>
          <w:sz w:val="20"/>
        </w:rPr>
      </w:pPr>
      <w:r w:rsidRPr="00A63160">
        <w:rPr>
          <w:sz w:val="20"/>
        </w:rPr>
        <w:t>Sheen, Y., Wright, D. &amp; Moldawa, A. (2009). Differential effects of focused and</w:t>
      </w:r>
      <w:r w:rsidRPr="00A63160">
        <w:rPr>
          <w:sz w:val="20"/>
          <w:rtl/>
          <w:lang w:bidi="fa-IR"/>
        </w:rPr>
        <w:t xml:space="preserve"> </w:t>
      </w:r>
      <w:r w:rsidRPr="00A63160">
        <w:rPr>
          <w:sz w:val="20"/>
        </w:rPr>
        <w:t>unfocused written correction on the accurate use of grammatical forms by</w:t>
      </w:r>
      <w:r w:rsidRPr="00A63160">
        <w:rPr>
          <w:sz w:val="20"/>
          <w:rtl/>
        </w:rPr>
        <w:t xml:space="preserve"> </w:t>
      </w:r>
      <w:r w:rsidRPr="00A63160">
        <w:rPr>
          <w:sz w:val="20"/>
        </w:rPr>
        <w:t xml:space="preserve">adult ESL learners. </w:t>
      </w:r>
      <w:r w:rsidRPr="00A63160">
        <w:rPr>
          <w:i/>
          <w:iCs/>
          <w:sz w:val="20"/>
        </w:rPr>
        <w:t>System</w:t>
      </w:r>
      <w:r w:rsidRPr="00A63160">
        <w:rPr>
          <w:sz w:val="20"/>
        </w:rPr>
        <w:t>,</w:t>
      </w:r>
      <w:r w:rsidRPr="00A63160">
        <w:rPr>
          <w:i/>
          <w:iCs/>
          <w:sz w:val="20"/>
        </w:rPr>
        <w:t xml:space="preserve"> 37</w:t>
      </w:r>
      <w:r w:rsidRPr="00A63160">
        <w:rPr>
          <w:sz w:val="20"/>
        </w:rPr>
        <w:t>(4), 556–569.</w:t>
      </w:r>
    </w:p>
    <w:p w:rsidR="00A63160" w:rsidRPr="00A63160" w:rsidRDefault="00A63160" w:rsidP="00A63160">
      <w:pPr>
        <w:ind w:left="720" w:hanging="720"/>
        <w:rPr>
          <w:sz w:val="20"/>
        </w:rPr>
      </w:pPr>
      <w:r w:rsidRPr="00A63160">
        <w:rPr>
          <w:sz w:val="20"/>
        </w:rPr>
        <w:t>Soori, A., &amp; Abd. Samad. A. (2011). The Efficacy of Immediate and Delayed</w:t>
      </w:r>
      <w:r w:rsidRPr="00A63160">
        <w:rPr>
          <w:sz w:val="20"/>
          <w:rtl/>
          <w:lang w:bidi="fa-IR"/>
        </w:rPr>
        <w:t xml:space="preserve"> </w:t>
      </w:r>
      <w:r w:rsidRPr="00A63160">
        <w:rPr>
          <w:sz w:val="20"/>
        </w:rPr>
        <w:t>Corrective Feedback in the Correct Use of English Definite and Indefinite</w:t>
      </w:r>
      <w:r w:rsidRPr="00A63160">
        <w:rPr>
          <w:sz w:val="20"/>
          <w:rtl/>
        </w:rPr>
        <w:t xml:space="preserve"> </w:t>
      </w:r>
      <w:r w:rsidRPr="00A63160">
        <w:rPr>
          <w:sz w:val="20"/>
        </w:rPr>
        <w:t xml:space="preserve">Articles. </w:t>
      </w:r>
      <w:r w:rsidRPr="00A63160">
        <w:rPr>
          <w:i/>
          <w:iCs/>
          <w:sz w:val="20"/>
        </w:rPr>
        <w:t>Journal of American Science</w:t>
      </w:r>
      <w:r w:rsidRPr="00A63160">
        <w:rPr>
          <w:sz w:val="20"/>
        </w:rPr>
        <w:t>,</w:t>
      </w:r>
      <w:r w:rsidRPr="00A63160">
        <w:rPr>
          <w:i/>
          <w:iCs/>
          <w:sz w:val="20"/>
        </w:rPr>
        <w:t xml:space="preserve"> 7</w:t>
      </w:r>
      <w:r w:rsidRPr="00A63160">
        <w:rPr>
          <w:sz w:val="20"/>
        </w:rPr>
        <w:t>(4), 349–354.</w:t>
      </w:r>
    </w:p>
    <w:p w:rsidR="00A63160" w:rsidRPr="00A63160" w:rsidRDefault="00A63160" w:rsidP="00A63160">
      <w:pPr>
        <w:ind w:left="720" w:hanging="720"/>
        <w:rPr>
          <w:color w:val="000000"/>
          <w:sz w:val="20"/>
          <w:lang w:bidi="fa-IR"/>
        </w:rPr>
      </w:pPr>
      <w:r w:rsidRPr="00A63160">
        <w:rPr>
          <w:color w:val="000000"/>
          <w:sz w:val="20"/>
        </w:rPr>
        <w:t>Spada, N., &amp; Lightbown, P.M. (1993). Instruction and the development of</w:t>
      </w:r>
      <w:r w:rsidRPr="00A63160">
        <w:rPr>
          <w:color w:val="000000"/>
          <w:sz w:val="20"/>
          <w:rtl/>
          <w:lang w:bidi="fa-IR"/>
        </w:rPr>
        <w:t xml:space="preserve"> </w:t>
      </w:r>
      <w:r w:rsidRPr="00A63160">
        <w:rPr>
          <w:color w:val="000000"/>
          <w:sz w:val="20"/>
        </w:rPr>
        <w:t xml:space="preserve">questions in L2 classrooms. </w:t>
      </w:r>
      <w:r w:rsidRPr="00A63160">
        <w:rPr>
          <w:i/>
          <w:iCs/>
          <w:color w:val="000000"/>
          <w:sz w:val="20"/>
        </w:rPr>
        <w:t>Studies in Second Language Acquisition</w:t>
      </w:r>
      <w:r w:rsidRPr="00A63160">
        <w:rPr>
          <w:color w:val="000000"/>
          <w:sz w:val="20"/>
        </w:rPr>
        <w:t>,</w:t>
      </w:r>
      <w:r w:rsidRPr="00A63160">
        <w:rPr>
          <w:color w:val="000000"/>
          <w:sz w:val="20"/>
          <w:rtl/>
        </w:rPr>
        <w:t xml:space="preserve"> </w:t>
      </w:r>
      <w:r w:rsidRPr="00A63160">
        <w:rPr>
          <w:i/>
          <w:iCs/>
          <w:color w:val="000000"/>
          <w:sz w:val="20"/>
        </w:rPr>
        <w:t>15</w:t>
      </w:r>
      <w:r w:rsidRPr="00A63160">
        <w:rPr>
          <w:color w:val="000000"/>
          <w:sz w:val="20"/>
        </w:rPr>
        <w:t xml:space="preserve">(2), </w:t>
      </w:r>
      <w:r w:rsidRPr="00A63160">
        <w:rPr>
          <w:color w:val="000000"/>
          <w:sz w:val="20"/>
          <w:rtl/>
        </w:rPr>
        <w:t>205</w:t>
      </w:r>
      <w:r w:rsidRPr="00A63160">
        <w:rPr>
          <w:sz w:val="20"/>
        </w:rPr>
        <w:t>–</w:t>
      </w:r>
      <w:r w:rsidRPr="00A63160">
        <w:rPr>
          <w:color w:val="000000"/>
          <w:sz w:val="20"/>
        </w:rPr>
        <w:t xml:space="preserve">224. </w:t>
      </w:r>
    </w:p>
    <w:p w:rsidR="00A63160" w:rsidRPr="00A63160" w:rsidRDefault="00A63160" w:rsidP="00A63160">
      <w:pPr>
        <w:ind w:left="720" w:hanging="720"/>
        <w:rPr>
          <w:color w:val="000000"/>
          <w:sz w:val="20"/>
        </w:rPr>
      </w:pPr>
      <w:r w:rsidRPr="00A63160">
        <w:rPr>
          <w:color w:val="000000"/>
          <w:sz w:val="20"/>
        </w:rPr>
        <w:t>Truscott, J. (1996). The case against grammar correction in L2 writing classes.</w:t>
      </w:r>
      <w:r w:rsidRPr="00A63160">
        <w:rPr>
          <w:color w:val="000000"/>
          <w:sz w:val="20"/>
          <w:rtl/>
        </w:rPr>
        <w:t xml:space="preserve"> </w:t>
      </w:r>
      <w:r w:rsidRPr="00A63160">
        <w:rPr>
          <w:color w:val="000000"/>
          <w:sz w:val="20"/>
        </w:rPr>
        <w:t>Language Learning, 46(2), 327–369.</w:t>
      </w:r>
    </w:p>
    <w:p w:rsidR="00A63160" w:rsidRPr="00A63160" w:rsidRDefault="00A63160" w:rsidP="00A63160">
      <w:pPr>
        <w:ind w:left="720" w:hanging="720"/>
        <w:rPr>
          <w:color w:val="000000" w:themeColor="text1"/>
          <w:sz w:val="20"/>
        </w:rPr>
      </w:pPr>
      <w:r w:rsidRPr="00A63160">
        <w:rPr>
          <w:color w:val="000000"/>
          <w:sz w:val="20"/>
        </w:rPr>
        <w:t xml:space="preserve">Tudini, V. (2003). Using native speakers in chat. </w:t>
      </w:r>
      <w:r w:rsidRPr="00A63160">
        <w:rPr>
          <w:i/>
          <w:color w:val="000000"/>
          <w:sz w:val="20"/>
        </w:rPr>
        <w:t>Language Learning &amp;</w:t>
      </w:r>
      <w:r w:rsidRPr="00A63160">
        <w:rPr>
          <w:i/>
          <w:color w:val="000000"/>
          <w:sz w:val="20"/>
          <w:rtl/>
        </w:rPr>
        <w:t xml:space="preserve"> </w:t>
      </w:r>
      <w:r w:rsidRPr="00A63160">
        <w:rPr>
          <w:i/>
          <w:color w:val="000000"/>
          <w:sz w:val="20"/>
        </w:rPr>
        <w:t>Technology</w:t>
      </w:r>
      <w:r w:rsidRPr="00A63160">
        <w:rPr>
          <w:color w:val="000000"/>
          <w:sz w:val="20"/>
        </w:rPr>
        <w:t>,</w:t>
      </w:r>
      <w:r w:rsidRPr="00A63160">
        <w:rPr>
          <w:i/>
          <w:color w:val="000000"/>
          <w:sz w:val="20"/>
        </w:rPr>
        <w:t xml:space="preserve"> 7</w:t>
      </w:r>
      <w:r w:rsidRPr="00A63160">
        <w:rPr>
          <w:color w:val="000000"/>
          <w:sz w:val="20"/>
        </w:rPr>
        <w:t>(3), 141</w:t>
      </w:r>
      <w:r w:rsidRPr="00A63160">
        <w:rPr>
          <w:sz w:val="20"/>
        </w:rPr>
        <w:t>–</w:t>
      </w:r>
      <w:r w:rsidRPr="00A63160">
        <w:rPr>
          <w:color w:val="000000"/>
          <w:sz w:val="20"/>
        </w:rPr>
        <w:t>159.</w:t>
      </w:r>
      <w:r w:rsidRPr="00A63160">
        <w:rPr>
          <w:color w:val="000000" w:themeColor="text1"/>
          <w:sz w:val="20"/>
        </w:rPr>
        <w:t xml:space="preserve"> </w:t>
      </w:r>
    </w:p>
    <w:p w:rsidR="00A63160" w:rsidRPr="00A63160" w:rsidRDefault="00A63160" w:rsidP="00A63160">
      <w:pPr>
        <w:ind w:left="720" w:hanging="720"/>
        <w:rPr>
          <w:sz w:val="20"/>
          <w:lang w:bidi="fa-IR"/>
        </w:rPr>
      </w:pPr>
      <w:r w:rsidRPr="00A63160">
        <w:rPr>
          <w:sz w:val="20"/>
        </w:rPr>
        <w:lastRenderedPageBreak/>
        <w:t>Warschauer, M. (2001). On-line communication. In R. Carter, &amp; D. Nunan (Eds.),</w:t>
      </w:r>
      <w:r w:rsidRPr="00A63160">
        <w:rPr>
          <w:sz w:val="20"/>
          <w:rtl/>
        </w:rPr>
        <w:t xml:space="preserve"> </w:t>
      </w:r>
      <w:r w:rsidRPr="00A63160">
        <w:rPr>
          <w:i/>
          <w:iCs/>
          <w:sz w:val="20"/>
        </w:rPr>
        <w:t>The Cambridge Guide to Teaching English to Speakers of Other</w:t>
      </w:r>
      <w:r w:rsidRPr="00A63160">
        <w:rPr>
          <w:i/>
          <w:iCs/>
          <w:sz w:val="20"/>
          <w:rtl/>
        </w:rPr>
        <w:t xml:space="preserve"> </w:t>
      </w:r>
      <w:r w:rsidRPr="00A63160">
        <w:rPr>
          <w:i/>
          <w:iCs/>
          <w:sz w:val="20"/>
        </w:rPr>
        <w:t>Languages</w:t>
      </w:r>
      <w:r w:rsidRPr="00A63160">
        <w:rPr>
          <w:sz w:val="20"/>
        </w:rPr>
        <w:t xml:space="preserve"> (pp. 207–212). Cambridge: Cambridge University Press.</w:t>
      </w:r>
    </w:p>
    <w:p w:rsidR="00A63160" w:rsidRPr="00A63160" w:rsidRDefault="00A63160" w:rsidP="00A63160">
      <w:pPr>
        <w:ind w:left="720" w:hanging="720"/>
        <w:rPr>
          <w:color w:val="000000"/>
          <w:sz w:val="20"/>
        </w:rPr>
      </w:pPr>
      <w:r w:rsidRPr="00A63160">
        <w:rPr>
          <w:color w:val="000000"/>
          <w:sz w:val="20"/>
        </w:rPr>
        <w:t xml:space="preserve">White, L., Spada, N., Lightbown, P. M., Ranta, L. (1991). Input enhancement and </w:t>
      </w:r>
      <w:r w:rsidRPr="00A63160">
        <w:rPr>
          <w:color w:val="000000"/>
          <w:sz w:val="20"/>
          <w:rtl/>
          <w:lang w:bidi="fa-IR"/>
        </w:rPr>
        <w:t xml:space="preserve">  </w:t>
      </w:r>
      <w:r w:rsidRPr="00A63160">
        <w:rPr>
          <w:color w:val="000000"/>
          <w:sz w:val="20"/>
        </w:rPr>
        <w:t xml:space="preserve">L2 question formation. </w:t>
      </w:r>
      <w:r w:rsidRPr="00A63160">
        <w:rPr>
          <w:i/>
          <w:iCs/>
          <w:color w:val="000000"/>
          <w:sz w:val="20"/>
        </w:rPr>
        <w:t>Applied Linguistics</w:t>
      </w:r>
      <w:r w:rsidRPr="00A63160">
        <w:rPr>
          <w:color w:val="000000"/>
          <w:sz w:val="20"/>
        </w:rPr>
        <w:t xml:space="preserve">, </w:t>
      </w:r>
      <w:r w:rsidRPr="00A63160">
        <w:rPr>
          <w:i/>
          <w:iCs/>
          <w:color w:val="000000"/>
          <w:sz w:val="20"/>
        </w:rPr>
        <w:t>12</w:t>
      </w:r>
      <w:r w:rsidRPr="00A63160">
        <w:rPr>
          <w:color w:val="000000"/>
          <w:sz w:val="20"/>
        </w:rPr>
        <w:t>(4), 416</w:t>
      </w:r>
      <w:r w:rsidRPr="00A63160">
        <w:rPr>
          <w:sz w:val="20"/>
        </w:rPr>
        <w:t>–</w:t>
      </w:r>
      <w:r w:rsidRPr="00A63160">
        <w:rPr>
          <w:color w:val="000000"/>
          <w:sz w:val="20"/>
        </w:rPr>
        <w:t xml:space="preserve">432. </w:t>
      </w:r>
    </w:p>
    <w:p w:rsidR="00A63160" w:rsidRPr="00A63160" w:rsidRDefault="00A63160" w:rsidP="00A63160">
      <w:pPr>
        <w:ind w:left="720" w:hanging="720"/>
        <w:rPr>
          <w:sz w:val="20"/>
        </w:rPr>
      </w:pPr>
      <w:r w:rsidRPr="00A63160">
        <w:rPr>
          <w:sz w:val="20"/>
        </w:rPr>
        <w:t>Whyte, M. M., Karolick, D. M., Neilsen, M. C., Elder, G. D., &amp; Hawley, W. T.</w:t>
      </w:r>
      <w:r w:rsidRPr="00A63160">
        <w:rPr>
          <w:sz w:val="20"/>
          <w:rtl/>
          <w:lang w:bidi="fa-IR"/>
        </w:rPr>
        <w:t xml:space="preserve"> </w:t>
      </w:r>
      <w:r w:rsidRPr="00A63160">
        <w:rPr>
          <w:sz w:val="20"/>
        </w:rPr>
        <w:t>(1995). Cognitive styles and feedback in computer-assisted instruction.</w:t>
      </w:r>
      <w:r w:rsidRPr="00A63160">
        <w:rPr>
          <w:sz w:val="20"/>
          <w:rtl/>
        </w:rPr>
        <w:t xml:space="preserve"> </w:t>
      </w:r>
      <w:r w:rsidRPr="00A63160">
        <w:rPr>
          <w:i/>
          <w:iCs/>
          <w:sz w:val="20"/>
        </w:rPr>
        <w:t>Journal of Educational Computing Research</w:t>
      </w:r>
      <w:r w:rsidRPr="00A63160">
        <w:rPr>
          <w:sz w:val="20"/>
        </w:rPr>
        <w:t xml:space="preserve">, </w:t>
      </w:r>
      <w:r w:rsidRPr="00A63160">
        <w:rPr>
          <w:i/>
          <w:iCs/>
          <w:sz w:val="20"/>
        </w:rPr>
        <w:t>12</w:t>
      </w:r>
      <w:r w:rsidRPr="00A63160">
        <w:rPr>
          <w:sz w:val="20"/>
        </w:rPr>
        <w:t>(2), 195–203.</w:t>
      </w:r>
    </w:p>
    <w:p w:rsidR="00A63160" w:rsidRPr="00A63160" w:rsidRDefault="00A63160" w:rsidP="00A63160">
      <w:pPr>
        <w:ind w:left="720" w:hanging="720"/>
        <w:rPr>
          <w:sz w:val="20"/>
        </w:rPr>
      </w:pPr>
      <w:r w:rsidRPr="00A63160">
        <w:rPr>
          <w:sz w:val="20"/>
        </w:rPr>
        <w:t>Yates, R., Kenkel, J. (2002). Responding to sentence-level errors in writing.</w:t>
      </w:r>
      <w:r w:rsidRPr="00A63160">
        <w:rPr>
          <w:sz w:val="20"/>
          <w:rtl/>
        </w:rPr>
        <w:t xml:space="preserve"> </w:t>
      </w:r>
      <w:r w:rsidRPr="00A63160">
        <w:rPr>
          <w:i/>
          <w:iCs/>
          <w:sz w:val="20"/>
        </w:rPr>
        <w:t>Journal of Second Language Writing</w:t>
      </w:r>
      <w:r w:rsidRPr="00A63160">
        <w:rPr>
          <w:sz w:val="20"/>
        </w:rPr>
        <w:t xml:space="preserve">, </w:t>
      </w:r>
      <w:r w:rsidRPr="00A63160">
        <w:rPr>
          <w:i/>
          <w:iCs/>
          <w:sz w:val="20"/>
        </w:rPr>
        <w:t>11</w:t>
      </w:r>
      <w:r w:rsidRPr="00A63160">
        <w:rPr>
          <w:sz w:val="20"/>
        </w:rPr>
        <w:t>(1), 29–47.</w:t>
      </w:r>
    </w:p>
    <w:p w:rsidR="00A63160" w:rsidRPr="00A63160" w:rsidRDefault="00A63160" w:rsidP="00A63160">
      <w:pPr>
        <w:ind w:left="720" w:hanging="720"/>
        <w:rPr>
          <w:rFonts w:eastAsia="UPCELight"/>
          <w:color w:val="231F20"/>
          <w:sz w:val="20"/>
        </w:rPr>
      </w:pPr>
      <w:r w:rsidRPr="00A63160">
        <w:rPr>
          <w:rFonts w:eastAsia="UPCELight"/>
          <w:color w:val="231F20"/>
          <w:sz w:val="20"/>
        </w:rPr>
        <w:t>Zhang, S. (1995). Reexamining the affective advantage of peer feedback in</w:t>
      </w:r>
      <w:r w:rsidRPr="00A63160">
        <w:rPr>
          <w:rFonts w:eastAsia="UPCELight"/>
          <w:color w:val="231F20"/>
          <w:sz w:val="20"/>
          <w:rtl/>
        </w:rPr>
        <w:t xml:space="preserve"> </w:t>
      </w:r>
      <w:r w:rsidRPr="00A63160">
        <w:rPr>
          <w:rFonts w:eastAsia="UPCELight"/>
          <w:color w:val="231F20"/>
          <w:sz w:val="20"/>
        </w:rPr>
        <w:t>the</w:t>
      </w:r>
      <w:r w:rsidRPr="00A63160">
        <w:rPr>
          <w:rFonts w:eastAsia="UPCELight"/>
          <w:color w:val="231F20"/>
          <w:sz w:val="20"/>
          <w:rtl/>
        </w:rPr>
        <w:t xml:space="preserve"> </w:t>
      </w:r>
      <w:r w:rsidRPr="00A63160">
        <w:rPr>
          <w:rFonts w:eastAsia="UPCELight"/>
          <w:color w:val="231F20"/>
          <w:sz w:val="20"/>
        </w:rPr>
        <w:t xml:space="preserve">ESL writing class. </w:t>
      </w:r>
      <w:r w:rsidRPr="00A63160">
        <w:rPr>
          <w:rFonts w:eastAsia="UPCELight"/>
          <w:i/>
          <w:iCs/>
          <w:color w:val="231F20"/>
          <w:sz w:val="20"/>
        </w:rPr>
        <w:t>Journal of Second Language Writing</w:t>
      </w:r>
      <w:r w:rsidRPr="00A63160">
        <w:rPr>
          <w:rFonts w:eastAsia="UPCELight"/>
          <w:color w:val="231F20"/>
          <w:sz w:val="20"/>
        </w:rPr>
        <w:t xml:space="preserve">, </w:t>
      </w:r>
      <w:r w:rsidRPr="00A63160">
        <w:rPr>
          <w:rFonts w:eastAsia="UPCELight"/>
          <w:i/>
          <w:iCs/>
          <w:color w:val="231F20"/>
          <w:sz w:val="20"/>
        </w:rPr>
        <w:t>4</w:t>
      </w:r>
      <w:r w:rsidRPr="00A63160">
        <w:rPr>
          <w:rFonts w:eastAsia="UPCELight"/>
          <w:color w:val="231F20"/>
          <w:sz w:val="20"/>
        </w:rPr>
        <w:t>(3), 209</w:t>
      </w:r>
      <w:r w:rsidRPr="00A63160">
        <w:rPr>
          <w:sz w:val="20"/>
        </w:rPr>
        <w:t>–</w:t>
      </w:r>
      <w:r w:rsidRPr="00A63160">
        <w:rPr>
          <w:rFonts w:eastAsia="UPCELight"/>
          <w:color w:val="231F20"/>
          <w:sz w:val="20"/>
        </w:rPr>
        <w:t>222.</w:t>
      </w:r>
    </w:p>
    <w:p w:rsidR="00A63160" w:rsidRPr="00FE0967" w:rsidRDefault="00A63160" w:rsidP="00A63160">
      <w:pPr>
        <w:autoSpaceDE w:val="0"/>
        <w:autoSpaceDN w:val="0"/>
        <w:adjustRightInd w:val="0"/>
        <w:spacing w:before="120"/>
        <w:rPr>
          <w:rFonts w:asciiTheme="majorBidi" w:eastAsia="UPCELight" w:hAnsiTheme="majorBidi" w:cstheme="majorBidi"/>
          <w:color w:val="231F20"/>
          <w:sz w:val="20"/>
        </w:rPr>
      </w:pPr>
    </w:p>
    <w:p w:rsidR="00A63160" w:rsidRPr="00017632" w:rsidRDefault="00A63160" w:rsidP="00A63160">
      <w:pPr>
        <w:pStyle w:val="Heading3"/>
      </w:pPr>
      <w:r w:rsidRPr="00101B65">
        <w:t xml:space="preserve">About the Author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6142"/>
      </w:tblGrid>
      <w:tr w:rsidR="00A63160" w:rsidTr="000C7855">
        <w:tc>
          <w:tcPr>
            <w:tcW w:w="2538" w:type="dxa"/>
          </w:tcPr>
          <w:p w:rsidR="00A63160" w:rsidRDefault="00A63160" w:rsidP="006F6B89">
            <w:pPr>
              <w:autoSpaceDE w:val="0"/>
              <w:autoSpaceDN w:val="0"/>
              <w:adjustRightInd w:val="0"/>
              <w:rPr>
                <w:rFonts w:ascii="Times New Roman" w:hAnsi="Times New Roman"/>
                <w:b/>
                <w:bCs/>
                <w:sz w:val="24"/>
                <w:szCs w:val="24"/>
              </w:rPr>
            </w:pPr>
            <w:r>
              <w:rPr>
                <w:rFonts w:ascii="Times New Roman" w:hAnsi="Times New Roman"/>
                <w:b/>
                <w:bCs/>
                <w:noProof/>
                <w:sz w:val="24"/>
                <w:szCs w:val="24"/>
              </w:rPr>
              <w:drawing>
                <wp:inline distT="0" distB="0" distL="0" distR="0" wp14:anchorId="3A7CABF0" wp14:editId="5BDCD6C6">
                  <wp:extent cx="1334379" cy="1845419"/>
                  <wp:effectExtent l="19050" t="0" r="0" b="0"/>
                  <wp:docPr id="8" name="Picture 0" descr="Seyyed Behrooz Hosse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yyed Behrooz Hosseini.jpg"/>
                          <pic:cNvPicPr/>
                        </pic:nvPicPr>
                        <pic:blipFill>
                          <a:blip r:embed="rId24"/>
                          <a:stretch>
                            <a:fillRect/>
                          </a:stretch>
                        </pic:blipFill>
                        <pic:spPr>
                          <a:xfrm>
                            <a:off x="0" y="0"/>
                            <a:ext cx="1335958" cy="1847602"/>
                          </a:xfrm>
                          <a:prstGeom prst="rect">
                            <a:avLst/>
                          </a:prstGeom>
                        </pic:spPr>
                      </pic:pic>
                    </a:graphicData>
                  </a:graphic>
                </wp:inline>
              </w:drawing>
            </w:r>
          </w:p>
        </w:tc>
        <w:tc>
          <w:tcPr>
            <w:tcW w:w="7038" w:type="dxa"/>
          </w:tcPr>
          <w:p w:rsidR="00A63160" w:rsidRPr="00101B65" w:rsidRDefault="00A63160" w:rsidP="000C7855">
            <w:r w:rsidRPr="000C7855">
              <w:rPr>
                <w:rFonts w:ascii="Arial" w:hAnsi="Arial" w:cs="Arial"/>
                <w:b/>
                <w:bCs/>
                <w:sz w:val="24"/>
                <w:szCs w:val="24"/>
              </w:rPr>
              <w:t>Seyed Behrooz</w:t>
            </w:r>
            <w:r w:rsidRPr="000C7855">
              <w:rPr>
                <w:rFonts w:ascii="Arial" w:hAnsi="Arial" w:cs="Arial"/>
                <w:sz w:val="24"/>
                <w:szCs w:val="24"/>
              </w:rPr>
              <w:t xml:space="preserve"> </w:t>
            </w:r>
            <w:r w:rsidRPr="000C7855">
              <w:rPr>
                <w:rFonts w:ascii="Arial" w:hAnsi="Arial" w:cs="Arial"/>
                <w:b/>
                <w:bCs/>
                <w:sz w:val="24"/>
                <w:szCs w:val="24"/>
              </w:rPr>
              <w:t>Hosseini</w:t>
            </w:r>
            <w:r w:rsidRPr="00101B65">
              <w:t xml:space="preserve"> is a</w:t>
            </w:r>
            <w:r>
              <w:t>n</w:t>
            </w:r>
            <w:r w:rsidRPr="00101B65">
              <w:t xml:space="preserve"> M.A. </w:t>
            </w:r>
            <w:r>
              <w:t>graduate</w:t>
            </w:r>
            <w:r w:rsidRPr="00101B65">
              <w:t xml:space="preserve"> majoring in TEFL </w:t>
            </w:r>
            <w:r>
              <w:t>from</w:t>
            </w:r>
            <w:r w:rsidRPr="00101B65">
              <w:t xml:space="preserve"> </w:t>
            </w:r>
            <w:r>
              <w:t>Islamic Azad University,</w:t>
            </w:r>
            <w:r w:rsidRPr="00101B65">
              <w:t xml:space="preserve"> South Tehran Branch.</w:t>
            </w:r>
            <w:r>
              <w:t xml:space="preserve"> He also holds a B.Sc. in software engineering. He has published numerous scholarly articles on language learning and teaching in international journals. Currently, he is teaching English at different institutes in Tehran.</w:t>
            </w:r>
            <w:r w:rsidRPr="00101B65">
              <w:t xml:space="preserve"> </w:t>
            </w:r>
            <w:r>
              <w:t>His main areas of research interest</w:t>
            </w:r>
            <w:r w:rsidRPr="00101B65">
              <w:t xml:space="preserve"> in</w:t>
            </w:r>
            <w:r>
              <w:t>clude CALL,</w:t>
            </w:r>
            <w:r w:rsidRPr="00101B65">
              <w:t xml:space="preserve"> CMC</w:t>
            </w:r>
            <w:r>
              <w:t>,</w:t>
            </w:r>
            <w:r w:rsidRPr="00101B65">
              <w:t xml:space="preserve"> e-learning</w:t>
            </w:r>
            <w:r>
              <w:t>, and related fields</w:t>
            </w:r>
            <w:r w:rsidRPr="00101B65">
              <w:t xml:space="preserve">. </w:t>
            </w:r>
          </w:p>
          <w:p w:rsidR="00A63160" w:rsidRDefault="00A63160" w:rsidP="000C7855">
            <w:pPr>
              <w:rPr>
                <w:b/>
                <w:bCs/>
              </w:rPr>
            </w:pPr>
            <w:r w:rsidRPr="000170C5">
              <w:rPr>
                <w:rFonts w:asciiTheme="majorBidi" w:hAnsiTheme="majorBidi" w:cstheme="majorBidi"/>
              </w:rPr>
              <w:t xml:space="preserve">E-mail: </w:t>
            </w:r>
            <w:hyperlink r:id="rId25" w:history="1">
              <w:r w:rsidRPr="000170C5">
                <w:rPr>
                  <w:rStyle w:val="Hyperlink"/>
                  <w:rFonts w:asciiTheme="majorBidi" w:hAnsiTheme="majorBidi" w:cstheme="majorBidi"/>
                  <w:szCs w:val="24"/>
                </w:rPr>
                <w:t>sbehroozh1970@yahoo.com</w:t>
              </w:r>
            </w:hyperlink>
          </w:p>
        </w:tc>
      </w:tr>
    </w:tbl>
    <w:p w:rsidR="000C7855" w:rsidRDefault="000C7855" w:rsidP="00A63160">
      <w:pPr>
        <w:autoSpaceDE w:val="0"/>
        <w:autoSpaceDN w:val="0"/>
        <w:adjustRightInd w:val="0"/>
        <w:spacing w:after="0"/>
        <w:rPr>
          <w:rFonts w:ascii="Times New Roman" w:hAnsi="Times New Roman"/>
          <w:b/>
          <w:bCs/>
          <w:sz w:val="24"/>
          <w:szCs w:val="24"/>
        </w:rPr>
      </w:pPr>
    </w:p>
    <w:p w:rsidR="004B726D" w:rsidRDefault="004B726D" w:rsidP="000C7855"/>
    <w:p w:rsidR="004B726D" w:rsidRDefault="004B726D" w:rsidP="000C7855"/>
    <w:p w:rsidR="004B726D" w:rsidRDefault="004B726D" w:rsidP="000C7855"/>
    <w:p w:rsidR="004B726D" w:rsidRDefault="004B726D" w:rsidP="000C7855"/>
    <w:p w:rsidR="004B726D" w:rsidRDefault="004B726D" w:rsidP="000C7855"/>
    <w:p w:rsidR="004B726D" w:rsidRDefault="004B726D" w:rsidP="000C7855"/>
    <w:p w:rsidR="004B726D" w:rsidRDefault="004B726D" w:rsidP="000C7855"/>
    <w:p w:rsidR="004B726D" w:rsidRDefault="004B726D" w:rsidP="000C7855"/>
    <w:p w:rsidR="004B726D" w:rsidRDefault="004B726D" w:rsidP="000C7855"/>
    <w:p w:rsidR="004B726D" w:rsidRDefault="004B726D" w:rsidP="000C7855"/>
    <w:p w:rsidR="004B726D" w:rsidRDefault="004B726D" w:rsidP="000C7855"/>
    <w:p w:rsidR="004B726D" w:rsidRDefault="004B726D" w:rsidP="000C7855"/>
    <w:p w:rsidR="004B726D" w:rsidRDefault="004B726D" w:rsidP="000C7855"/>
    <w:p w:rsidR="000C7855" w:rsidRDefault="009557B1" w:rsidP="000C7855">
      <w:hyperlink w:anchor="TOC" w:history="1">
        <w:r w:rsidR="004B726D" w:rsidRPr="000C7B67">
          <w:rPr>
            <w:rStyle w:val="Hyperlink"/>
            <w:rFonts w:ascii="Arial" w:hAnsi="Arial" w:cs="Arial"/>
            <w:sz w:val="16"/>
            <w:szCs w:val="16"/>
          </w:rPr>
          <w:t>Return to Table of Contents</w:t>
        </w:r>
      </w:hyperlink>
      <w:r w:rsidR="000C7855">
        <w:br w:type="page"/>
      </w:r>
    </w:p>
    <w:p w:rsidR="00A63160" w:rsidRPr="000C7855" w:rsidRDefault="00A63160" w:rsidP="000C7855">
      <w:pPr>
        <w:pStyle w:val="Heading5"/>
        <w:rPr>
          <w:rFonts w:asciiTheme="majorBidi" w:eastAsia="UPCELight" w:hAnsiTheme="majorBidi" w:cstheme="majorBidi"/>
          <w:color w:val="231F20"/>
        </w:rPr>
      </w:pPr>
      <w:r>
        <w:lastRenderedPageBreak/>
        <w:t>Appendix A</w:t>
      </w:r>
    </w:p>
    <w:p w:rsidR="00A63160" w:rsidRDefault="00A63160" w:rsidP="00A63160">
      <w:pPr>
        <w:autoSpaceDE w:val="0"/>
        <w:autoSpaceDN w:val="0"/>
        <w:adjustRightInd w:val="0"/>
        <w:spacing w:after="0"/>
        <w:rPr>
          <w:rFonts w:ascii="Times New Roman" w:hAnsi="Times New Roman"/>
          <w:b/>
          <w:bCs/>
          <w:sz w:val="24"/>
          <w:szCs w:val="24"/>
        </w:rPr>
      </w:pPr>
    </w:p>
    <w:p w:rsidR="00A63160" w:rsidRPr="008317AF" w:rsidRDefault="00A63160" w:rsidP="00A63160">
      <w:pPr>
        <w:autoSpaceDE w:val="0"/>
        <w:autoSpaceDN w:val="0"/>
        <w:adjustRightInd w:val="0"/>
        <w:spacing w:after="0"/>
        <w:jc w:val="center"/>
        <w:rPr>
          <w:rFonts w:ascii="Times New Roman" w:hAnsi="Times New Roman"/>
          <w:b/>
          <w:sz w:val="24"/>
          <w:szCs w:val="24"/>
        </w:rPr>
      </w:pPr>
      <w:r w:rsidRPr="008317AF">
        <w:rPr>
          <w:rFonts w:ascii="Times New Roman" w:hAnsi="Times New Roman"/>
          <w:b/>
          <w:sz w:val="24"/>
          <w:szCs w:val="24"/>
        </w:rPr>
        <w:t>Characteristics of Lyster &amp; Ranta's (1997) Categories of Corrective Feedback</w:t>
      </w:r>
      <w:r w:rsidR="008317AF">
        <w:rPr>
          <w:rFonts w:ascii="Times New Roman" w:hAnsi="Times New Roman"/>
          <w:b/>
          <w:sz w:val="24"/>
          <w:szCs w:val="24"/>
        </w:rPr>
        <w:br/>
      </w:r>
    </w:p>
    <w:tbl>
      <w:tblPr>
        <w:tblW w:w="86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368"/>
        <w:gridCol w:w="1512"/>
        <w:gridCol w:w="1311"/>
        <w:gridCol w:w="1047"/>
        <w:gridCol w:w="1890"/>
        <w:gridCol w:w="1512"/>
      </w:tblGrid>
      <w:tr w:rsidR="00A63160" w:rsidRPr="00103D07" w:rsidTr="006F6B89">
        <w:trPr>
          <w:trHeight w:val="363"/>
        </w:trPr>
        <w:tc>
          <w:tcPr>
            <w:tcW w:w="1368" w:type="dxa"/>
            <w:tcBorders>
              <w:top w:val="single" w:sz="16" w:space="0" w:color="000000"/>
              <w:bottom w:val="single" w:sz="8" w:space="0" w:color="000000"/>
              <w:right w:val="single" w:sz="6" w:space="0" w:color="000000"/>
            </w:tcBorders>
            <w:vAlign w:val="center"/>
          </w:tcPr>
          <w:p w:rsidR="00A63160" w:rsidRPr="00246034" w:rsidRDefault="00A63160" w:rsidP="006F6B89">
            <w:pPr>
              <w:pStyle w:val="LLTTextinTable"/>
              <w:jc w:val="center"/>
              <w:rPr>
                <w:rFonts w:ascii="Arial" w:hAnsi="Arial" w:cs="Arial"/>
                <w:b/>
                <w:bCs/>
                <w:color w:val="000000"/>
                <w:sz w:val="16"/>
                <w:szCs w:val="16"/>
              </w:rPr>
            </w:pPr>
            <w:r w:rsidRPr="00246034">
              <w:rPr>
                <w:rFonts w:ascii="Arial" w:hAnsi="Arial" w:cs="Arial"/>
                <w:b/>
                <w:bCs/>
                <w:color w:val="000000"/>
                <w:sz w:val="16"/>
                <w:szCs w:val="16"/>
              </w:rPr>
              <w:t>Corrective Feedback Type</w:t>
            </w:r>
          </w:p>
        </w:tc>
        <w:tc>
          <w:tcPr>
            <w:tcW w:w="1512" w:type="dxa"/>
            <w:tcBorders>
              <w:top w:val="single" w:sz="16" w:space="0" w:color="000000"/>
              <w:left w:val="single" w:sz="6" w:space="0" w:color="000000"/>
              <w:bottom w:val="single" w:sz="8" w:space="0" w:color="000000"/>
              <w:right w:val="single" w:sz="6" w:space="0" w:color="000000"/>
            </w:tcBorders>
            <w:vAlign w:val="center"/>
          </w:tcPr>
          <w:p w:rsidR="00A63160" w:rsidRPr="00246034" w:rsidRDefault="00A63160" w:rsidP="006F6B89">
            <w:pPr>
              <w:pStyle w:val="Default"/>
              <w:jc w:val="center"/>
              <w:rPr>
                <w:rFonts w:ascii="Arial" w:hAnsi="Arial" w:cs="Arial"/>
                <w:sz w:val="16"/>
                <w:szCs w:val="16"/>
              </w:rPr>
            </w:pPr>
            <w:r w:rsidRPr="00246034">
              <w:rPr>
                <w:rFonts w:ascii="Arial" w:hAnsi="Arial" w:cs="Arial"/>
                <w:b/>
                <w:bCs/>
                <w:sz w:val="16"/>
                <w:szCs w:val="16"/>
              </w:rPr>
              <w:t>Definition</w:t>
            </w:r>
          </w:p>
        </w:tc>
        <w:tc>
          <w:tcPr>
            <w:tcW w:w="1311" w:type="dxa"/>
            <w:tcBorders>
              <w:top w:val="single" w:sz="16" w:space="0" w:color="000000"/>
              <w:left w:val="single" w:sz="6" w:space="0" w:color="000000"/>
              <w:bottom w:val="single" w:sz="8" w:space="0" w:color="000000"/>
              <w:right w:val="single" w:sz="6" w:space="0" w:color="000000"/>
            </w:tcBorders>
            <w:vAlign w:val="center"/>
          </w:tcPr>
          <w:p w:rsidR="00A63160" w:rsidRPr="00246034" w:rsidRDefault="00A63160" w:rsidP="006F6B89">
            <w:pPr>
              <w:pStyle w:val="Default"/>
              <w:jc w:val="center"/>
              <w:rPr>
                <w:rFonts w:ascii="Arial" w:hAnsi="Arial" w:cs="Arial"/>
                <w:sz w:val="16"/>
                <w:szCs w:val="16"/>
              </w:rPr>
            </w:pPr>
            <w:r w:rsidRPr="00246034">
              <w:rPr>
                <w:rFonts w:ascii="Arial" w:hAnsi="Arial" w:cs="Arial"/>
                <w:b/>
                <w:bCs/>
                <w:sz w:val="16"/>
                <w:szCs w:val="16"/>
              </w:rPr>
              <w:t>Example(s)</w:t>
            </w:r>
          </w:p>
        </w:tc>
        <w:tc>
          <w:tcPr>
            <w:tcW w:w="1047" w:type="dxa"/>
            <w:tcBorders>
              <w:top w:val="single" w:sz="16" w:space="0" w:color="000000"/>
              <w:left w:val="single" w:sz="6" w:space="0" w:color="000000"/>
              <w:bottom w:val="single" w:sz="8" w:space="0" w:color="000000"/>
              <w:right w:val="single" w:sz="6" w:space="0" w:color="000000"/>
            </w:tcBorders>
            <w:vAlign w:val="center"/>
          </w:tcPr>
          <w:p w:rsidR="00A63160" w:rsidRPr="00246034" w:rsidRDefault="00A63160" w:rsidP="006F6B89">
            <w:pPr>
              <w:pStyle w:val="Default"/>
              <w:jc w:val="center"/>
              <w:rPr>
                <w:rFonts w:ascii="Arial" w:hAnsi="Arial" w:cs="Arial"/>
                <w:sz w:val="16"/>
                <w:szCs w:val="16"/>
              </w:rPr>
            </w:pPr>
            <w:r w:rsidRPr="00246034">
              <w:rPr>
                <w:rFonts w:ascii="Arial" w:hAnsi="Arial" w:cs="Arial"/>
                <w:b/>
                <w:bCs/>
                <w:sz w:val="16"/>
                <w:szCs w:val="16"/>
              </w:rPr>
              <w:t>Nature of Error Indicated</w:t>
            </w:r>
          </w:p>
        </w:tc>
        <w:tc>
          <w:tcPr>
            <w:tcW w:w="1890" w:type="dxa"/>
            <w:tcBorders>
              <w:top w:val="single" w:sz="16" w:space="0" w:color="000000"/>
              <w:left w:val="single" w:sz="6" w:space="0" w:color="000000"/>
              <w:bottom w:val="single" w:sz="8" w:space="0" w:color="000000"/>
              <w:right w:val="single" w:sz="6" w:space="0" w:color="000000"/>
            </w:tcBorders>
            <w:vAlign w:val="center"/>
          </w:tcPr>
          <w:p w:rsidR="00A63160" w:rsidRPr="00246034" w:rsidRDefault="00A63160" w:rsidP="006F6B89">
            <w:pPr>
              <w:pStyle w:val="Default"/>
              <w:jc w:val="center"/>
              <w:rPr>
                <w:rFonts w:ascii="Arial" w:hAnsi="Arial" w:cs="Arial"/>
                <w:sz w:val="16"/>
                <w:szCs w:val="16"/>
              </w:rPr>
            </w:pPr>
            <w:r w:rsidRPr="00246034">
              <w:rPr>
                <w:rFonts w:ascii="Arial" w:hAnsi="Arial" w:cs="Arial"/>
                <w:b/>
                <w:bCs/>
                <w:sz w:val="16"/>
                <w:szCs w:val="16"/>
              </w:rPr>
              <w:t>Targetlike Reformulation</w:t>
            </w:r>
            <w:r>
              <w:rPr>
                <w:rFonts w:ascii="Arial" w:hAnsi="Arial" w:cs="Arial"/>
                <w:b/>
                <w:bCs/>
                <w:sz w:val="16"/>
                <w:szCs w:val="16"/>
              </w:rPr>
              <w:t xml:space="preserve"> </w:t>
            </w:r>
            <w:r w:rsidRPr="00246034">
              <w:rPr>
                <w:rFonts w:ascii="Arial" w:hAnsi="Arial" w:cs="Arial"/>
                <w:b/>
                <w:bCs/>
                <w:sz w:val="16"/>
                <w:szCs w:val="16"/>
              </w:rPr>
              <w:t>Provided</w:t>
            </w:r>
          </w:p>
        </w:tc>
        <w:tc>
          <w:tcPr>
            <w:tcW w:w="1512" w:type="dxa"/>
            <w:tcBorders>
              <w:top w:val="single" w:sz="16" w:space="0" w:color="000000"/>
              <w:left w:val="single" w:sz="6" w:space="0" w:color="000000"/>
              <w:bottom w:val="single" w:sz="8" w:space="0" w:color="000000"/>
            </w:tcBorders>
            <w:vAlign w:val="center"/>
          </w:tcPr>
          <w:p w:rsidR="00A63160" w:rsidRPr="00246034" w:rsidRDefault="00A63160" w:rsidP="006F6B89">
            <w:pPr>
              <w:pStyle w:val="Default"/>
              <w:jc w:val="center"/>
              <w:rPr>
                <w:rFonts w:ascii="Arial" w:hAnsi="Arial" w:cs="Arial"/>
                <w:sz w:val="16"/>
                <w:szCs w:val="16"/>
              </w:rPr>
            </w:pPr>
            <w:r w:rsidRPr="00246034">
              <w:rPr>
                <w:rFonts w:ascii="Arial" w:hAnsi="Arial" w:cs="Arial"/>
                <w:b/>
                <w:bCs/>
                <w:sz w:val="16"/>
                <w:szCs w:val="16"/>
              </w:rPr>
              <w:t>Elicited</w:t>
            </w:r>
            <w:r>
              <w:rPr>
                <w:rFonts w:ascii="Arial" w:hAnsi="Arial" w:cs="Arial"/>
                <w:b/>
                <w:bCs/>
                <w:sz w:val="16"/>
                <w:szCs w:val="16"/>
              </w:rPr>
              <w:br/>
            </w:r>
            <w:r w:rsidRPr="00246034">
              <w:rPr>
                <w:rFonts w:ascii="Arial" w:hAnsi="Arial" w:cs="Arial"/>
                <w:b/>
                <w:bCs/>
                <w:sz w:val="16"/>
                <w:szCs w:val="16"/>
              </w:rPr>
              <w:t xml:space="preserve"> Output</w:t>
            </w:r>
          </w:p>
        </w:tc>
      </w:tr>
      <w:tr w:rsidR="00A63160" w:rsidRPr="00103D07" w:rsidTr="006F6B89">
        <w:trPr>
          <w:trHeight w:val="362"/>
        </w:trPr>
        <w:tc>
          <w:tcPr>
            <w:tcW w:w="1368" w:type="dxa"/>
            <w:tcBorders>
              <w:top w:val="single" w:sz="8" w:space="0" w:color="000000"/>
              <w:bottom w:val="single" w:sz="6" w:space="0" w:color="000000"/>
              <w:right w:val="single" w:sz="6" w:space="0" w:color="000000"/>
            </w:tcBorders>
          </w:tcPr>
          <w:p w:rsidR="00A63160" w:rsidRPr="00246034" w:rsidRDefault="00A63160" w:rsidP="006F6B89">
            <w:pPr>
              <w:pStyle w:val="Default"/>
              <w:jc w:val="center"/>
              <w:rPr>
                <w:rFonts w:asciiTheme="majorBidi" w:hAnsiTheme="majorBidi" w:cstheme="majorBidi"/>
                <w:b/>
                <w:bCs/>
                <w:sz w:val="18"/>
                <w:szCs w:val="18"/>
              </w:rPr>
            </w:pPr>
            <w:r w:rsidRPr="00246034">
              <w:rPr>
                <w:rFonts w:asciiTheme="majorBidi" w:hAnsiTheme="majorBidi" w:cstheme="majorBidi"/>
                <w:b/>
                <w:bCs/>
                <w:sz w:val="18"/>
                <w:szCs w:val="18"/>
              </w:rPr>
              <w:t>Explicit Error Correction</w:t>
            </w:r>
          </w:p>
        </w:tc>
        <w:tc>
          <w:tcPr>
            <w:tcW w:w="1512" w:type="dxa"/>
            <w:tcBorders>
              <w:top w:val="single" w:sz="8"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Explicit provision of the targetlike reformulation </w:t>
            </w:r>
          </w:p>
        </w:tc>
        <w:tc>
          <w:tcPr>
            <w:tcW w:w="1311" w:type="dxa"/>
            <w:tcBorders>
              <w:top w:val="single" w:sz="8"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You should say visited. </w:t>
            </w:r>
          </w:p>
        </w:tc>
        <w:tc>
          <w:tcPr>
            <w:tcW w:w="1047" w:type="dxa"/>
            <w:tcBorders>
              <w:top w:val="single" w:sz="8"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Yes </w:t>
            </w:r>
          </w:p>
        </w:tc>
        <w:tc>
          <w:tcPr>
            <w:tcW w:w="1890" w:type="dxa"/>
            <w:tcBorders>
              <w:top w:val="single" w:sz="8"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Provided directly </w:t>
            </w:r>
          </w:p>
        </w:tc>
        <w:tc>
          <w:tcPr>
            <w:tcW w:w="1512" w:type="dxa"/>
            <w:tcBorders>
              <w:top w:val="single" w:sz="8" w:space="0" w:color="000000"/>
              <w:left w:val="single" w:sz="6" w:space="0" w:color="000000"/>
              <w:bottom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None </w:t>
            </w: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or </w:t>
            </w: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repetition </w:t>
            </w:r>
          </w:p>
        </w:tc>
      </w:tr>
      <w:tr w:rsidR="00A63160" w:rsidRPr="00103D07" w:rsidTr="006F6B89">
        <w:trPr>
          <w:trHeight w:val="1973"/>
        </w:trPr>
        <w:tc>
          <w:tcPr>
            <w:tcW w:w="1368" w:type="dxa"/>
            <w:tcBorders>
              <w:top w:val="single" w:sz="6" w:space="0" w:color="000000"/>
              <w:bottom w:val="single" w:sz="6" w:space="0" w:color="000000"/>
              <w:right w:val="single" w:sz="6" w:space="0" w:color="000000"/>
            </w:tcBorders>
          </w:tcPr>
          <w:p w:rsidR="00A63160" w:rsidRPr="00246034" w:rsidRDefault="00A63160" w:rsidP="006F6B89">
            <w:pPr>
              <w:pStyle w:val="Default"/>
              <w:jc w:val="center"/>
              <w:rPr>
                <w:rFonts w:asciiTheme="majorBidi" w:hAnsiTheme="majorBidi" w:cstheme="majorBidi"/>
                <w:b/>
                <w:bCs/>
                <w:sz w:val="18"/>
                <w:szCs w:val="18"/>
              </w:rPr>
            </w:pPr>
            <w:r w:rsidRPr="00246034">
              <w:rPr>
                <w:rFonts w:asciiTheme="majorBidi" w:hAnsiTheme="majorBidi" w:cstheme="majorBidi"/>
                <w:b/>
                <w:bCs/>
                <w:sz w:val="18"/>
                <w:szCs w:val="18"/>
              </w:rPr>
              <w:t>Metalinguistic Feedback</w:t>
            </w:r>
          </w:p>
        </w:tc>
        <w:tc>
          <w:tcPr>
            <w:tcW w:w="1512"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Comments, information or questions (that may or may not contain metalanguage but do not include the reformulation) related to the ill-formedness of the utterance </w:t>
            </w:r>
          </w:p>
        </w:tc>
        <w:tc>
          <w:tcPr>
            <w:tcW w:w="1311"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There's a mistake. </w:t>
            </w: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It's past tense. </w:t>
            </w: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Did you use the past tense? </w:t>
            </w:r>
          </w:p>
        </w:tc>
        <w:tc>
          <w:tcPr>
            <w:tcW w:w="1047"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No </w:t>
            </w: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Yes </w:t>
            </w: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Yes </w:t>
            </w:r>
          </w:p>
        </w:tc>
        <w:tc>
          <w:tcPr>
            <w:tcW w:w="1890"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No </w:t>
            </w: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Provided indirectly through metalinguistic hint at correct reformulation </w:t>
            </w: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Provided indirectly through metalinguistic question concerning rule governing reformulation </w:t>
            </w:r>
          </w:p>
        </w:tc>
        <w:tc>
          <w:tcPr>
            <w:tcW w:w="1512" w:type="dxa"/>
            <w:tcBorders>
              <w:top w:val="single" w:sz="6" w:space="0" w:color="000000"/>
              <w:left w:val="single" w:sz="6" w:space="0" w:color="000000"/>
              <w:bottom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Identification of error and/or reformulation </w:t>
            </w: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Reformulation </w:t>
            </w: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Metalinguistic response, yes/no response, or reformulation </w:t>
            </w:r>
          </w:p>
        </w:tc>
      </w:tr>
      <w:tr w:rsidR="00A63160" w:rsidRPr="00103D07" w:rsidTr="006F6B89">
        <w:trPr>
          <w:trHeight w:val="823"/>
        </w:trPr>
        <w:tc>
          <w:tcPr>
            <w:tcW w:w="1368" w:type="dxa"/>
            <w:tcBorders>
              <w:top w:val="single" w:sz="6" w:space="0" w:color="000000"/>
              <w:bottom w:val="single" w:sz="6" w:space="0" w:color="000000"/>
              <w:right w:val="single" w:sz="6" w:space="0" w:color="000000"/>
            </w:tcBorders>
          </w:tcPr>
          <w:p w:rsidR="00A63160" w:rsidRPr="00246034" w:rsidRDefault="00A63160" w:rsidP="006F6B89">
            <w:pPr>
              <w:pStyle w:val="Default"/>
              <w:jc w:val="center"/>
              <w:rPr>
                <w:rFonts w:asciiTheme="majorBidi" w:hAnsiTheme="majorBidi" w:cstheme="majorBidi"/>
                <w:b/>
                <w:bCs/>
                <w:sz w:val="18"/>
                <w:szCs w:val="18"/>
              </w:rPr>
            </w:pPr>
            <w:r w:rsidRPr="00246034">
              <w:rPr>
                <w:rFonts w:asciiTheme="majorBidi" w:hAnsiTheme="majorBidi" w:cstheme="majorBidi"/>
                <w:b/>
                <w:bCs/>
                <w:sz w:val="18"/>
                <w:szCs w:val="18"/>
              </w:rPr>
              <w:t>Elicitations</w:t>
            </w:r>
          </w:p>
        </w:tc>
        <w:tc>
          <w:tcPr>
            <w:tcW w:w="1512"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A prompt for the learner to reformulate </w:t>
            </w:r>
          </w:p>
        </w:tc>
        <w:tc>
          <w:tcPr>
            <w:tcW w:w="1311"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Try that again. </w:t>
            </w: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How do we say that in the past tense? </w:t>
            </w: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Yesterday we … </w:t>
            </w:r>
          </w:p>
        </w:tc>
        <w:tc>
          <w:tcPr>
            <w:tcW w:w="1047"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No </w:t>
            </w: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Yes </w:t>
            </w: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Sometimes </w:t>
            </w:r>
          </w:p>
        </w:tc>
        <w:tc>
          <w:tcPr>
            <w:tcW w:w="1890"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No </w:t>
            </w: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No </w:t>
            </w: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No </w:t>
            </w:r>
          </w:p>
        </w:tc>
        <w:tc>
          <w:tcPr>
            <w:tcW w:w="1512" w:type="dxa"/>
            <w:tcBorders>
              <w:top w:val="single" w:sz="6" w:space="0" w:color="000000"/>
              <w:left w:val="single" w:sz="6" w:space="0" w:color="000000"/>
              <w:bottom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Reformulation </w:t>
            </w: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Reformulation </w:t>
            </w: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Reformulation </w:t>
            </w:r>
          </w:p>
        </w:tc>
      </w:tr>
      <w:tr w:rsidR="00A63160" w:rsidRPr="00103D07" w:rsidTr="006F6B89">
        <w:trPr>
          <w:trHeight w:val="707"/>
        </w:trPr>
        <w:tc>
          <w:tcPr>
            <w:tcW w:w="1368" w:type="dxa"/>
            <w:tcBorders>
              <w:top w:val="single" w:sz="6" w:space="0" w:color="000000"/>
              <w:bottom w:val="single" w:sz="6" w:space="0" w:color="000000"/>
              <w:right w:val="single" w:sz="6" w:space="0" w:color="000000"/>
            </w:tcBorders>
          </w:tcPr>
          <w:p w:rsidR="00A63160" w:rsidRPr="00246034" w:rsidRDefault="00A63160" w:rsidP="006F6B89">
            <w:pPr>
              <w:pStyle w:val="Default"/>
              <w:jc w:val="center"/>
              <w:rPr>
                <w:rFonts w:asciiTheme="majorBidi" w:hAnsiTheme="majorBidi" w:cstheme="majorBidi"/>
                <w:b/>
                <w:bCs/>
                <w:sz w:val="18"/>
                <w:szCs w:val="18"/>
              </w:rPr>
            </w:pPr>
            <w:r w:rsidRPr="00246034">
              <w:rPr>
                <w:rFonts w:asciiTheme="majorBidi" w:hAnsiTheme="majorBidi" w:cstheme="majorBidi"/>
                <w:b/>
                <w:bCs/>
                <w:sz w:val="18"/>
                <w:szCs w:val="18"/>
              </w:rPr>
              <w:t>Repetitions</w:t>
            </w:r>
          </w:p>
        </w:tc>
        <w:tc>
          <w:tcPr>
            <w:tcW w:w="1512"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Repetition of all or part of the utterance containing the error, often accompanied by a change in intonation </w:t>
            </w:r>
          </w:p>
        </w:tc>
        <w:tc>
          <w:tcPr>
            <w:tcW w:w="1311"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Yesterday we visit my aunt. </w:t>
            </w:r>
          </w:p>
        </w:tc>
        <w:tc>
          <w:tcPr>
            <w:tcW w:w="1047"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Sometimes </w:t>
            </w:r>
          </w:p>
        </w:tc>
        <w:tc>
          <w:tcPr>
            <w:tcW w:w="1890"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No </w:t>
            </w:r>
          </w:p>
        </w:tc>
        <w:tc>
          <w:tcPr>
            <w:tcW w:w="1512" w:type="dxa"/>
            <w:tcBorders>
              <w:top w:val="single" w:sz="6" w:space="0" w:color="000000"/>
              <w:left w:val="single" w:sz="6" w:space="0" w:color="000000"/>
              <w:bottom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None </w:t>
            </w: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or </w:t>
            </w: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repetition </w:t>
            </w:r>
          </w:p>
        </w:tc>
      </w:tr>
      <w:tr w:rsidR="00A63160" w:rsidRPr="00103D07" w:rsidTr="006F6B89">
        <w:trPr>
          <w:trHeight w:val="592"/>
        </w:trPr>
        <w:tc>
          <w:tcPr>
            <w:tcW w:w="1368" w:type="dxa"/>
            <w:tcBorders>
              <w:top w:val="single" w:sz="6" w:space="0" w:color="000000"/>
              <w:bottom w:val="single" w:sz="6" w:space="0" w:color="000000"/>
              <w:right w:val="single" w:sz="6" w:space="0" w:color="000000"/>
            </w:tcBorders>
          </w:tcPr>
          <w:p w:rsidR="00A63160" w:rsidRPr="00246034" w:rsidRDefault="00A63160" w:rsidP="006F6B89">
            <w:pPr>
              <w:pStyle w:val="Default"/>
              <w:jc w:val="center"/>
              <w:rPr>
                <w:rFonts w:asciiTheme="majorBidi" w:hAnsiTheme="majorBidi" w:cstheme="majorBidi"/>
                <w:b/>
                <w:bCs/>
                <w:sz w:val="18"/>
                <w:szCs w:val="18"/>
              </w:rPr>
            </w:pPr>
            <w:r w:rsidRPr="00246034">
              <w:rPr>
                <w:rFonts w:asciiTheme="majorBidi" w:hAnsiTheme="majorBidi" w:cstheme="majorBidi"/>
                <w:b/>
                <w:bCs/>
                <w:sz w:val="18"/>
                <w:szCs w:val="18"/>
              </w:rPr>
              <w:t>Recasts</w:t>
            </w:r>
          </w:p>
        </w:tc>
        <w:tc>
          <w:tcPr>
            <w:tcW w:w="1512"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Implicit reformulation of all or part of the learner's utterance </w:t>
            </w:r>
          </w:p>
        </w:tc>
        <w:tc>
          <w:tcPr>
            <w:tcW w:w="1311"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Yesterday we visited my aunt. </w:t>
            </w: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I visited my aunt last week. </w:t>
            </w:r>
          </w:p>
        </w:tc>
        <w:tc>
          <w:tcPr>
            <w:tcW w:w="1047"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Yes </w:t>
            </w: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Yes </w:t>
            </w:r>
          </w:p>
        </w:tc>
        <w:tc>
          <w:tcPr>
            <w:tcW w:w="1890"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Reformulation provided </w:t>
            </w: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Reformulation provided </w:t>
            </w:r>
          </w:p>
        </w:tc>
        <w:tc>
          <w:tcPr>
            <w:tcW w:w="1512" w:type="dxa"/>
            <w:tcBorders>
              <w:top w:val="single" w:sz="6" w:space="0" w:color="000000"/>
              <w:left w:val="single" w:sz="6" w:space="0" w:color="000000"/>
              <w:bottom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Repetition </w:t>
            </w: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p>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Repetition </w:t>
            </w:r>
          </w:p>
        </w:tc>
      </w:tr>
      <w:tr w:rsidR="00A63160" w:rsidRPr="00103D07" w:rsidTr="006F6B89">
        <w:trPr>
          <w:trHeight w:val="477"/>
        </w:trPr>
        <w:tc>
          <w:tcPr>
            <w:tcW w:w="1368" w:type="dxa"/>
            <w:tcBorders>
              <w:top w:val="single" w:sz="6" w:space="0" w:color="000000"/>
              <w:bottom w:val="single" w:sz="6" w:space="0" w:color="000000"/>
              <w:right w:val="single" w:sz="6" w:space="0" w:color="000000"/>
            </w:tcBorders>
          </w:tcPr>
          <w:p w:rsidR="00A63160" w:rsidRPr="00246034" w:rsidRDefault="00A63160" w:rsidP="006F6B89">
            <w:pPr>
              <w:pStyle w:val="Default"/>
              <w:jc w:val="center"/>
              <w:rPr>
                <w:rFonts w:asciiTheme="majorBidi" w:hAnsiTheme="majorBidi" w:cstheme="majorBidi"/>
                <w:b/>
                <w:bCs/>
                <w:sz w:val="18"/>
                <w:szCs w:val="18"/>
              </w:rPr>
            </w:pPr>
            <w:r w:rsidRPr="00246034">
              <w:rPr>
                <w:rFonts w:asciiTheme="majorBidi" w:hAnsiTheme="majorBidi" w:cstheme="majorBidi"/>
                <w:b/>
                <w:bCs/>
                <w:sz w:val="18"/>
                <w:szCs w:val="18"/>
              </w:rPr>
              <w:t>Translations</w:t>
            </w:r>
          </w:p>
        </w:tc>
        <w:tc>
          <w:tcPr>
            <w:tcW w:w="1512"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Target language translation of unsolicited use of the L1. </w:t>
            </w:r>
          </w:p>
        </w:tc>
        <w:tc>
          <w:tcPr>
            <w:tcW w:w="1311"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 </w:t>
            </w:r>
          </w:p>
        </w:tc>
        <w:tc>
          <w:tcPr>
            <w:tcW w:w="1047"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Yes </w:t>
            </w:r>
          </w:p>
        </w:tc>
        <w:tc>
          <w:tcPr>
            <w:tcW w:w="1890" w:type="dxa"/>
            <w:tcBorders>
              <w:top w:val="single" w:sz="6" w:space="0" w:color="000000"/>
              <w:left w:val="single" w:sz="6" w:space="0" w:color="000000"/>
              <w:bottom w:val="single" w:sz="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Reformulation provided </w:t>
            </w:r>
          </w:p>
        </w:tc>
        <w:tc>
          <w:tcPr>
            <w:tcW w:w="1512" w:type="dxa"/>
            <w:tcBorders>
              <w:top w:val="single" w:sz="6" w:space="0" w:color="000000"/>
              <w:left w:val="single" w:sz="6" w:space="0" w:color="000000"/>
              <w:bottom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Repetition </w:t>
            </w:r>
          </w:p>
        </w:tc>
      </w:tr>
      <w:tr w:rsidR="00A63160" w:rsidRPr="00103D07" w:rsidTr="006F6B89">
        <w:trPr>
          <w:trHeight w:val="477"/>
        </w:trPr>
        <w:tc>
          <w:tcPr>
            <w:tcW w:w="1368" w:type="dxa"/>
            <w:tcBorders>
              <w:top w:val="single" w:sz="6" w:space="0" w:color="000000"/>
              <w:bottom w:val="single" w:sz="16" w:space="0" w:color="000000"/>
              <w:right w:val="single" w:sz="6" w:space="0" w:color="000000"/>
            </w:tcBorders>
          </w:tcPr>
          <w:p w:rsidR="00A63160" w:rsidRPr="00246034" w:rsidRDefault="00A63160" w:rsidP="006F6B89">
            <w:pPr>
              <w:pStyle w:val="Default"/>
              <w:jc w:val="center"/>
              <w:rPr>
                <w:rFonts w:asciiTheme="majorBidi" w:hAnsiTheme="majorBidi" w:cstheme="majorBidi"/>
                <w:b/>
                <w:bCs/>
                <w:sz w:val="18"/>
                <w:szCs w:val="18"/>
              </w:rPr>
            </w:pPr>
            <w:r w:rsidRPr="00246034">
              <w:rPr>
                <w:rFonts w:asciiTheme="majorBidi" w:hAnsiTheme="majorBidi" w:cstheme="majorBidi"/>
                <w:b/>
                <w:bCs/>
                <w:sz w:val="18"/>
                <w:szCs w:val="18"/>
              </w:rPr>
              <w:t>Clarification Requests</w:t>
            </w:r>
          </w:p>
        </w:tc>
        <w:tc>
          <w:tcPr>
            <w:tcW w:w="1512" w:type="dxa"/>
            <w:tcBorders>
              <w:top w:val="single" w:sz="6" w:space="0" w:color="000000"/>
              <w:left w:val="single" w:sz="6" w:space="0" w:color="000000"/>
              <w:bottom w:val="single" w:sz="1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An utterance indicating a problem in comprehension, accuracy or both. </w:t>
            </w:r>
          </w:p>
        </w:tc>
        <w:tc>
          <w:tcPr>
            <w:tcW w:w="1311" w:type="dxa"/>
            <w:tcBorders>
              <w:top w:val="single" w:sz="6" w:space="0" w:color="000000"/>
              <w:left w:val="single" w:sz="6" w:space="0" w:color="000000"/>
              <w:bottom w:val="single" w:sz="1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Pardon? </w:t>
            </w:r>
          </w:p>
        </w:tc>
        <w:tc>
          <w:tcPr>
            <w:tcW w:w="1047" w:type="dxa"/>
            <w:tcBorders>
              <w:top w:val="single" w:sz="6" w:space="0" w:color="000000"/>
              <w:left w:val="single" w:sz="6" w:space="0" w:color="000000"/>
              <w:bottom w:val="single" w:sz="1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No </w:t>
            </w:r>
          </w:p>
        </w:tc>
        <w:tc>
          <w:tcPr>
            <w:tcW w:w="1890" w:type="dxa"/>
            <w:tcBorders>
              <w:top w:val="single" w:sz="6" w:space="0" w:color="000000"/>
              <w:left w:val="single" w:sz="6" w:space="0" w:color="000000"/>
              <w:bottom w:val="single" w:sz="16" w:space="0" w:color="000000"/>
              <w:right w:val="single" w:sz="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No </w:t>
            </w:r>
          </w:p>
        </w:tc>
        <w:tc>
          <w:tcPr>
            <w:tcW w:w="1512" w:type="dxa"/>
            <w:tcBorders>
              <w:top w:val="single" w:sz="6" w:space="0" w:color="000000"/>
              <w:left w:val="single" w:sz="6" w:space="0" w:color="000000"/>
              <w:bottom w:val="single" w:sz="16" w:space="0" w:color="000000"/>
            </w:tcBorders>
          </w:tcPr>
          <w:p w:rsidR="00A63160" w:rsidRPr="00246034" w:rsidRDefault="00A63160" w:rsidP="006F6B89">
            <w:pPr>
              <w:pStyle w:val="Default"/>
              <w:rPr>
                <w:rFonts w:asciiTheme="majorBidi" w:hAnsiTheme="majorBidi" w:cstheme="majorBidi"/>
                <w:sz w:val="18"/>
                <w:szCs w:val="18"/>
              </w:rPr>
            </w:pPr>
            <w:r w:rsidRPr="00246034">
              <w:rPr>
                <w:rFonts w:asciiTheme="majorBidi" w:hAnsiTheme="majorBidi" w:cstheme="majorBidi"/>
                <w:sz w:val="18"/>
                <w:szCs w:val="18"/>
              </w:rPr>
              <w:t xml:space="preserve">Repetition, reformulation, or meaning elaboration </w:t>
            </w:r>
          </w:p>
        </w:tc>
      </w:tr>
    </w:tbl>
    <w:p w:rsidR="00A63160" w:rsidRDefault="00A63160" w:rsidP="00A63160">
      <w:pPr>
        <w:autoSpaceDE w:val="0"/>
        <w:autoSpaceDN w:val="0"/>
        <w:adjustRightInd w:val="0"/>
        <w:spacing w:after="0"/>
        <w:rPr>
          <w:rFonts w:ascii="Times New Roman" w:hAnsi="Times New Roman"/>
          <w:b/>
          <w:bCs/>
          <w:sz w:val="24"/>
          <w:szCs w:val="24"/>
        </w:rPr>
      </w:pPr>
    </w:p>
    <w:p w:rsidR="002F4CA8" w:rsidRDefault="002F4CA8">
      <w:pPr>
        <w:spacing w:before="0" w:after="0"/>
      </w:pPr>
    </w:p>
    <w:p w:rsidR="002F4CA8" w:rsidRDefault="002F4CA8">
      <w:pPr>
        <w:spacing w:before="0" w:after="0"/>
      </w:pPr>
    </w:p>
    <w:p w:rsidR="002F4CA8" w:rsidRDefault="002F4CA8">
      <w:pPr>
        <w:spacing w:before="0" w:after="0"/>
      </w:pPr>
    </w:p>
    <w:p w:rsidR="002F4CA8" w:rsidRDefault="002F4CA8">
      <w:pPr>
        <w:spacing w:before="0" w:after="0"/>
      </w:pPr>
    </w:p>
    <w:p w:rsidR="008C589D" w:rsidRDefault="009557B1">
      <w:pPr>
        <w:spacing w:before="0" w:after="0"/>
      </w:pPr>
      <w:hyperlink w:anchor="TOC" w:history="1">
        <w:r w:rsidR="002F4CA8" w:rsidRPr="000C7B67">
          <w:rPr>
            <w:rStyle w:val="Hyperlink"/>
            <w:rFonts w:ascii="Arial" w:hAnsi="Arial" w:cs="Arial"/>
            <w:sz w:val="16"/>
            <w:szCs w:val="16"/>
          </w:rPr>
          <w:t>Return to Table of Contents</w:t>
        </w:r>
      </w:hyperlink>
      <w:r w:rsidR="00A63160">
        <w:br w:type="page"/>
      </w:r>
    </w:p>
    <w:p w:rsidR="00F374B7" w:rsidRDefault="00F374B7" w:rsidP="00F374B7">
      <w:pPr>
        <w:pStyle w:val="Note"/>
      </w:pPr>
      <w:r w:rsidRPr="004F43CC">
        <w:rPr>
          <w:b/>
        </w:rPr>
        <w:lastRenderedPageBreak/>
        <w:t>Editor’s Note</w:t>
      </w:r>
      <w:r>
        <w:t>:  Prepared materials and interactive media provide many opportunities to enrich learning. The simplicity of hyperlinks and the ease of producing testing and revising lesson materials make the Internet the medium of choice for many educational applications. It changes the way we teach, but more importantly it changes the way we – and our students – learn. And by placing more responsibility with the learner, the system becomes flexible and able to support a wider range of learner needs and interests.</w:t>
      </w:r>
    </w:p>
    <w:p w:rsidR="00F374B7" w:rsidRDefault="00F374B7" w:rsidP="00F374B7">
      <w:pPr>
        <w:pStyle w:val="Note"/>
      </w:pPr>
    </w:p>
    <w:p w:rsidR="00F374B7" w:rsidRPr="00345D10" w:rsidRDefault="00F374B7" w:rsidP="00F374B7">
      <w:pPr>
        <w:pStyle w:val="Heading1"/>
        <w:rPr>
          <w:sz w:val="28"/>
          <w:szCs w:val="28"/>
        </w:rPr>
      </w:pPr>
      <w:bookmarkStart w:id="36" w:name="_The_impact_of"/>
      <w:bookmarkEnd w:id="36"/>
      <w:r w:rsidRPr="00345D10">
        <w:rPr>
          <w:sz w:val="28"/>
          <w:szCs w:val="28"/>
        </w:rPr>
        <w:t xml:space="preserve">The impact of </w:t>
      </w:r>
      <w:r>
        <w:rPr>
          <w:sz w:val="28"/>
          <w:szCs w:val="28"/>
        </w:rPr>
        <w:t xml:space="preserve">the </w:t>
      </w:r>
      <w:r w:rsidRPr="00345D10">
        <w:rPr>
          <w:sz w:val="28"/>
          <w:szCs w:val="28"/>
        </w:rPr>
        <w:t>Webquest instruction system on Iranian intermediate EFL</w:t>
      </w:r>
      <w:r>
        <w:rPr>
          <w:sz w:val="28"/>
          <w:szCs w:val="28"/>
        </w:rPr>
        <w:t xml:space="preserve"> learners’</w:t>
      </w:r>
      <w:r w:rsidRPr="00345D10">
        <w:rPr>
          <w:sz w:val="28"/>
          <w:szCs w:val="28"/>
        </w:rPr>
        <w:t xml:space="preserve"> writing performance and perception </w:t>
      </w:r>
    </w:p>
    <w:p w:rsidR="00F374B7" w:rsidRPr="00C44B56" w:rsidRDefault="00F374B7" w:rsidP="00F374B7">
      <w:pPr>
        <w:pStyle w:val="Heading5"/>
        <w:rPr>
          <w:sz w:val="22"/>
          <w:szCs w:val="22"/>
        </w:rPr>
      </w:pPr>
      <w:r w:rsidRPr="00C44B56">
        <w:rPr>
          <w:sz w:val="22"/>
          <w:szCs w:val="22"/>
        </w:rPr>
        <w:t>Marzie Arsanjani</w:t>
      </w:r>
      <w:r>
        <w:rPr>
          <w:sz w:val="22"/>
          <w:szCs w:val="22"/>
        </w:rPr>
        <w:t xml:space="preserve"> and</w:t>
      </w:r>
      <w:r w:rsidRPr="00C44B56">
        <w:rPr>
          <w:sz w:val="22"/>
          <w:szCs w:val="22"/>
        </w:rPr>
        <w:t xml:space="preserve"> Esmail Faghih </w:t>
      </w:r>
    </w:p>
    <w:p w:rsidR="00F374B7" w:rsidRPr="00C44B56" w:rsidRDefault="00F374B7" w:rsidP="00F374B7">
      <w:pPr>
        <w:pStyle w:val="Heading5"/>
        <w:rPr>
          <w:sz w:val="18"/>
          <w:szCs w:val="18"/>
        </w:rPr>
      </w:pPr>
      <w:r w:rsidRPr="00C44B56">
        <w:rPr>
          <w:sz w:val="18"/>
          <w:szCs w:val="18"/>
        </w:rPr>
        <w:t>Iran</w:t>
      </w:r>
    </w:p>
    <w:p w:rsidR="00F374B7" w:rsidRPr="0015606B" w:rsidRDefault="00F374B7" w:rsidP="00F374B7">
      <w:pPr>
        <w:pStyle w:val="Heading3"/>
      </w:pPr>
      <w:r w:rsidRPr="0015606B">
        <w:t>Abstract</w:t>
      </w:r>
    </w:p>
    <w:p w:rsidR="00F374B7" w:rsidRPr="0015606B" w:rsidRDefault="00F374B7" w:rsidP="00F374B7">
      <w:r w:rsidRPr="0015606B">
        <w:t>This study investigates the effectiveness of</w:t>
      </w:r>
      <w:r>
        <w:t xml:space="preserve"> Webquest</w:t>
      </w:r>
      <w:r w:rsidRPr="0015606B">
        <w:t xml:space="preserve"> instruction system on improving learners’ writing performance and perception. For this purpose, 32 Iranian intermediate EFL learners aged 14-17 were randomly assigned to an experimental group receiving</w:t>
      </w:r>
      <w:r>
        <w:t xml:space="preserve"> Webquest</w:t>
      </w:r>
      <w:r w:rsidRPr="0015606B">
        <w:t xml:space="preserve"> lesson plan, and a control group receiv</w:t>
      </w:r>
      <w:r>
        <w:t>ed</w:t>
      </w:r>
      <w:r w:rsidRPr="0015606B">
        <w:t xml:space="preserve"> traditional writing instruction. The writing pretest was administered to both groups in order to assess the writing proficiency of participants. After the treatment, a writing posttest was administered to evaluate the probable improvement in the writing performance for the experimental group in comparison with the control group. Analysis of the results through two Independent Sample Test revealed that the experimental group outperformed the control group in terms of writing performance. Additionally, results of One-Sample Wilcoxon Signed Rank Test indicated that learners had positive perception of the</w:t>
      </w:r>
      <w:r>
        <w:t xml:space="preserve"> Webquest</w:t>
      </w:r>
      <w:r w:rsidRPr="0015606B">
        <w:t xml:space="preserve"> writing instruction. Finally,</w:t>
      </w:r>
      <w:r>
        <w:t xml:space="preserve"> Webquest</w:t>
      </w:r>
      <w:r w:rsidRPr="0015606B">
        <w:t xml:space="preserve"> proved to increase learners’ motivation to have more interaction in classroom.</w:t>
      </w:r>
    </w:p>
    <w:p w:rsidR="00F374B7" w:rsidRPr="00C44B56" w:rsidRDefault="00F374B7" w:rsidP="00F374B7">
      <w:pPr>
        <w:rPr>
          <w:sz w:val="20"/>
        </w:rPr>
      </w:pPr>
      <w:r w:rsidRPr="00345D10">
        <w:rPr>
          <w:b/>
          <w:sz w:val="20"/>
        </w:rPr>
        <w:t>Keywords</w:t>
      </w:r>
      <w:r w:rsidRPr="00C44B56">
        <w:rPr>
          <w:sz w:val="20"/>
        </w:rPr>
        <w:t>:  Webquest, performance, critical thinking, World Wide Web, computer-assisted language learning, higher-order thinking skill, input, inquiry, peer assistance, constructivism.</w:t>
      </w:r>
    </w:p>
    <w:p w:rsidR="00F374B7" w:rsidRPr="0015606B" w:rsidRDefault="00F374B7" w:rsidP="00F374B7">
      <w:pPr>
        <w:pStyle w:val="Heading3"/>
      </w:pPr>
      <w:r w:rsidRPr="0015606B">
        <w:t>Introduction</w:t>
      </w:r>
      <w:r>
        <w:t xml:space="preserve"> </w:t>
      </w:r>
    </w:p>
    <w:p w:rsidR="00F374B7" w:rsidRPr="0015606B" w:rsidRDefault="00F374B7" w:rsidP="00F374B7">
      <w:r w:rsidRPr="0015606B">
        <w:t xml:space="preserve">With the advent of the Internet, new </w:t>
      </w:r>
      <w:r>
        <w:t>form</w:t>
      </w:r>
      <w:r w:rsidRPr="0015606B">
        <w:t>s of communication emerge</w:t>
      </w:r>
      <w:r>
        <w:t>d</w:t>
      </w:r>
      <w:r w:rsidRPr="0015606B">
        <w:t>. Technology touched every aspect of our lives. It is interesting to make use of World Wide Web as a</w:t>
      </w:r>
      <w:r>
        <w:t xml:space="preserve"> </w:t>
      </w:r>
      <w:r w:rsidRPr="0015606B">
        <w:t xml:space="preserve">powerful and innovative tool </w:t>
      </w:r>
      <w:r>
        <w:t>in the classroom</w:t>
      </w:r>
      <w:r w:rsidRPr="0015606B">
        <w:t xml:space="preserve"> and outside of the class as a home activity. Since the early 1990s, research into computer- mediated communication (CMC) has </w:t>
      </w:r>
      <w:r>
        <w:t>explored ways in which</w:t>
      </w:r>
      <w:r w:rsidRPr="0015606B">
        <w:t xml:space="preserve"> electronic media can enhance second language learning (Kern &amp;</w:t>
      </w:r>
      <w:r>
        <w:t xml:space="preserve"> </w:t>
      </w:r>
      <w:r w:rsidRPr="0015606B">
        <w:t>Warschauer, 2000). Today</w:t>
      </w:r>
      <w:r>
        <w:t>,</w:t>
      </w:r>
      <w:r w:rsidRPr="0015606B">
        <w:t xml:space="preserve"> increased use of the web has changed conditions for communication and learning (Lankshear</w:t>
      </w:r>
      <w:r>
        <w:t xml:space="preserve"> </w:t>
      </w:r>
      <w:r w:rsidRPr="0015606B">
        <w:t xml:space="preserve">&amp; </w:t>
      </w:r>
      <w:r>
        <w:t>K</w:t>
      </w:r>
      <w:r w:rsidRPr="0015606B">
        <w:t xml:space="preserve">nobel, 2008). Ware and Kramsc (2005,p190) </w:t>
      </w:r>
      <w:r>
        <w:t xml:space="preserve">suggest </w:t>
      </w:r>
      <w:r w:rsidRPr="0015606B">
        <w:t xml:space="preserve">that “Web- based technology has </w:t>
      </w:r>
      <w:r>
        <w:t xml:space="preserve">demonstrated </w:t>
      </w:r>
      <w:r w:rsidRPr="0015606B">
        <w:t>promising examples of computer- based learning with the potential to enable language students to interact across geographic,</w:t>
      </w:r>
      <w:r>
        <w:t xml:space="preserve"> l</w:t>
      </w:r>
      <w:r w:rsidRPr="0015606B">
        <w:t>inguistic, and cultural lines”.</w:t>
      </w:r>
      <w:r>
        <w:t xml:space="preserve"> </w:t>
      </w:r>
      <w:r w:rsidRPr="0015606B">
        <w:t xml:space="preserve">Warschaure (2001) also states that, “CMC or online communication refers to reading, writing and communication via networked computers” (p.207). CMC can be greatly </w:t>
      </w:r>
      <w:r>
        <w:t>improve</w:t>
      </w:r>
      <w:r w:rsidRPr="0015606B">
        <w:t xml:space="preserve"> writing </w:t>
      </w:r>
      <w:r>
        <w:t>in</w:t>
      </w:r>
      <w:r w:rsidRPr="0015606B">
        <w:t xml:space="preserve"> English. According to Goodman and Graddol (1996), computer- mediated technologies are mainly associated with written text through English language</w:t>
      </w:r>
      <w:r>
        <w:t>,</w:t>
      </w:r>
      <w:r w:rsidRPr="0015606B">
        <w:t xml:space="preserve"> leading to direct teacher-student interaction focusing on linguistic accuracy of the learners. Web-based technologies permit us to access information in different ways</w:t>
      </w:r>
      <w:r>
        <w:t xml:space="preserve"> and</w:t>
      </w:r>
      <w:r w:rsidRPr="0015606B">
        <w:t xml:space="preserve"> </w:t>
      </w:r>
      <w:r>
        <w:t>create</w:t>
      </w:r>
      <w:r w:rsidRPr="0015606B">
        <w:t xml:space="preserve"> </w:t>
      </w:r>
      <w:r>
        <w:t>opportunities for students to</w:t>
      </w:r>
      <w:r w:rsidRPr="0015606B">
        <w:t xml:space="preserve"> collaborat</w:t>
      </w:r>
      <w:r>
        <w:t>e</w:t>
      </w:r>
      <w:r w:rsidRPr="0015606B">
        <w:t xml:space="preserve"> and interact.</w:t>
      </w:r>
    </w:p>
    <w:p w:rsidR="00F374B7" w:rsidRPr="0015606B" w:rsidRDefault="00F374B7" w:rsidP="00F374B7">
      <w:pPr>
        <w:pStyle w:val="Heading3"/>
      </w:pPr>
      <w:r>
        <w:t>Webquest</w:t>
      </w:r>
      <w:r w:rsidRPr="0015606B">
        <w:t xml:space="preserve"> Instruction System</w:t>
      </w:r>
      <w:r>
        <w:t xml:space="preserve"> (WIS)</w:t>
      </w:r>
    </w:p>
    <w:p w:rsidR="00F374B7" w:rsidRPr="0015606B" w:rsidRDefault="00F374B7" w:rsidP="00F374B7">
      <w:r w:rsidRPr="0015606B">
        <w:t>Among many web-based tools in education,</w:t>
      </w:r>
      <w:r>
        <w:t xml:space="preserve"> Webquest</w:t>
      </w:r>
      <w:r w:rsidRPr="0015606B">
        <w:t xml:space="preserve">s have become one of the prevailing learning applications. </w:t>
      </w:r>
      <w:r>
        <w:t xml:space="preserve"> Webquest</w:t>
      </w:r>
      <w:r w:rsidRPr="0015606B">
        <w:t xml:space="preserve"> was </w:t>
      </w:r>
      <w:r>
        <w:t>first</w:t>
      </w:r>
      <w:r w:rsidRPr="0015606B">
        <w:t xml:space="preserve"> developed by Berine Dodge and Tom March at San Diego </w:t>
      </w:r>
      <w:r>
        <w:t>S</w:t>
      </w:r>
      <w:r w:rsidRPr="0015606B">
        <w:t xml:space="preserve">tate </w:t>
      </w:r>
      <w:r>
        <w:t>U</w:t>
      </w:r>
      <w:r w:rsidRPr="0015606B">
        <w:t xml:space="preserve">niversity in February, 1995. According to Dodge (1995, para 3) </w:t>
      </w:r>
      <w:r>
        <w:t>Webquest</w:t>
      </w:r>
      <w:r w:rsidRPr="0015606B">
        <w:t xml:space="preserve"> is “an inquiry-oriented activity in which most or all of the information used by learners is drawn from </w:t>
      </w:r>
      <w:r w:rsidRPr="0015606B">
        <w:lastRenderedPageBreak/>
        <w:t xml:space="preserve">the web. </w:t>
      </w:r>
      <w:r>
        <w:t xml:space="preserve"> Webquest</w:t>
      </w:r>
      <w:r w:rsidRPr="0015606B">
        <w:t xml:space="preserve">s are designed to use learners’ time well, to focus on using information rather than looking for it, and to support </w:t>
      </w:r>
      <w:r>
        <w:t xml:space="preserve">the </w:t>
      </w:r>
      <w:r w:rsidRPr="0015606B">
        <w:t>learner’s thinking at the level of analysis, synthesis and evaluation.”</w:t>
      </w:r>
    </w:p>
    <w:p w:rsidR="00F374B7" w:rsidRPr="0015606B" w:rsidRDefault="00F374B7" w:rsidP="00F374B7">
      <w:r w:rsidRPr="0015606B">
        <w:t>Barros and Carvalho (2007) state that,</w:t>
      </w:r>
      <w:r>
        <w:t xml:space="preserve"> Webquest</w:t>
      </w:r>
      <w:r w:rsidRPr="0015606B">
        <w:t xml:space="preserve"> gives students the chances to encounter authentic materials that increase their language writing skills; in addition, it produces </w:t>
      </w:r>
      <w:r>
        <w:t>opportunities for</w:t>
      </w:r>
      <w:r w:rsidRPr="0015606B">
        <w:t xml:space="preserve"> cooperation and collaboration among group</w:t>
      </w:r>
      <w:r>
        <w:t>s of</w:t>
      </w:r>
      <w:r w:rsidRPr="0015606B">
        <w:t xml:space="preserve"> learners. It helps students to learn from each other and to improve social skills and critical thinking. </w:t>
      </w:r>
      <w:r>
        <w:t xml:space="preserve"> Webquest</w:t>
      </w:r>
      <w:r w:rsidRPr="0015606B">
        <w:t>s integrate technology into teaching and help students concentrate on how to u</w:t>
      </w:r>
      <w:r>
        <w:t>se and seek information on the I</w:t>
      </w:r>
      <w:r w:rsidRPr="0015606B">
        <w:t xml:space="preserve">nternet. It also </w:t>
      </w:r>
      <w:r>
        <w:t>helps</w:t>
      </w:r>
      <w:r w:rsidRPr="0015606B">
        <w:t xml:space="preserve"> students </w:t>
      </w:r>
      <w:r>
        <w:t xml:space="preserve">to </w:t>
      </w:r>
      <w:r w:rsidRPr="0015606B">
        <w:t xml:space="preserve">develop autonomy as they perform their work, discuss, share opinions and solve problems. </w:t>
      </w:r>
    </w:p>
    <w:p w:rsidR="00F374B7" w:rsidRPr="0015606B" w:rsidRDefault="00F374B7" w:rsidP="00F374B7">
      <w:r>
        <w:t>Webquest</w:t>
      </w:r>
      <w:r w:rsidRPr="0015606B">
        <w:t xml:space="preserve">s consist of authentic and motivating tasks that need students to focus (Dudney, 2003). </w:t>
      </w:r>
      <w:r>
        <w:t xml:space="preserve"> Webquest</w:t>
      </w:r>
      <w:r w:rsidRPr="0015606B">
        <w:t>s improve student motivation by preparing a real life resource and open-ended basic question</w:t>
      </w:r>
      <w:r>
        <w:t>s</w:t>
      </w:r>
      <w:r w:rsidRPr="0015606B">
        <w:t>. This stimulates more advanced performance by learners and motivates them to search the topic (March, 2003; Strickland, 2005).</w:t>
      </w:r>
      <w:r>
        <w:t xml:space="preserve"> </w:t>
      </w:r>
      <w:r w:rsidRPr="0015606B">
        <w:t>Torres (2007) states that applying</w:t>
      </w:r>
      <w:r>
        <w:t xml:space="preserve"> Webquest</w:t>
      </w:r>
      <w:r w:rsidRPr="0015606B">
        <w:t xml:space="preserve"> in learning has a lot of benefits. It increase</w:t>
      </w:r>
      <w:r>
        <w:t>s</w:t>
      </w:r>
      <w:r w:rsidRPr="0015606B">
        <w:t xml:space="preserve"> effective use of time</w:t>
      </w:r>
      <w:r>
        <w:t>. S</w:t>
      </w:r>
      <w:r w:rsidRPr="0015606B">
        <w:t xml:space="preserve">tudents are exposed to different links given by teacher and search for new information in an organized </w:t>
      </w:r>
      <w:r>
        <w:t>manner</w:t>
      </w:r>
      <w:r w:rsidRPr="0015606B">
        <w:t xml:space="preserve">. It increases motivation </w:t>
      </w:r>
      <w:r>
        <w:t>among</w:t>
      </w:r>
      <w:r w:rsidRPr="0015606B">
        <w:t xml:space="preserve"> students and stimulates higher-order thinking. Students are required to read, think, analyze, synthesize, and evaluate by means of</w:t>
      </w:r>
      <w:r>
        <w:t xml:space="preserve"> Webquest</w:t>
      </w:r>
      <w:r w:rsidRPr="0015606B">
        <w:t>.</w:t>
      </w:r>
    </w:p>
    <w:p w:rsidR="00F374B7" w:rsidRPr="0015606B" w:rsidRDefault="00F374B7" w:rsidP="00F374B7">
      <w:r>
        <w:t>Webquest</w:t>
      </w:r>
      <w:r w:rsidRPr="0015606B">
        <w:t xml:space="preserve"> is a system that teachers apply to enhance learning. Learners can use it out of the classroom and have enough time to expand their learning. Generally,</w:t>
      </w:r>
      <w:r>
        <w:t xml:space="preserve"> Webquest</w:t>
      </w:r>
      <w:r w:rsidRPr="0015606B">
        <w:t xml:space="preserve"> activities include:</w:t>
      </w:r>
    </w:p>
    <w:p w:rsidR="00F374B7" w:rsidRPr="0015606B" w:rsidRDefault="00F374B7" w:rsidP="00F374B7">
      <w:pPr>
        <w:pStyle w:val="ListParagraph"/>
        <w:numPr>
          <w:ilvl w:val="0"/>
          <w:numId w:val="39"/>
        </w:numPr>
        <w:spacing w:before="60" w:after="60"/>
        <w:contextualSpacing w:val="0"/>
      </w:pPr>
      <w:r w:rsidRPr="0015606B">
        <w:t>An introduction that briefly explains an activity and provides background information.</w:t>
      </w:r>
    </w:p>
    <w:p w:rsidR="00F374B7" w:rsidRPr="0015606B" w:rsidRDefault="00F374B7" w:rsidP="00F374B7">
      <w:pPr>
        <w:pStyle w:val="ListParagraph"/>
        <w:numPr>
          <w:ilvl w:val="0"/>
          <w:numId w:val="39"/>
        </w:numPr>
        <w:spacing w:before="60" w:after="60"/>
        <w:contextualSpacing w:val="0"/>
      </w:pPr>
      <w:r w:rsidRPr="0015606B">
        <w:t xml:space="preserve">A task that provides a feasible and interesting activity </w:t>
      </w:r>
      <w:r>
        <w:t>for</w:t>
      </w:r>
      <w:r w:rsidRPr="0015606B">
        <w:t xml:space="preserve"> learners to perform.</w:t>
      </w:r>
    </w:p>
    <w:p w:rsidR="00F374B7" w:rsidRPr="0015606B" w:rsidRDefault="00F374B7" w:rsidP="00F374B7">
      <w:pPr>
        <w:pStyle w:val="ListParagraph"/>
        <w:numPr>
          <w:ilvl w:val="0"/>
          <w:numId w:val="39"/>
        </w:numPr>
        <w:spacing w:before="60" w:after="60"/>
        <w:contextualSpacing w:val="0"/>
      </w:pPr>
      <w:r w:rsidRPr="0015606B">
        <w:t xml:space="preserve">A process </w:t>
      </w:r>
      <w:r>
        <w:t>that</w:t>
      </w:r>
      <w:r w:rsidRPr="0015606B">
        <w:t xml:space="preserve"> defines the steps </w:t>
      </w:r>
      <w:r>
        <w:t xml:space="preserve">for learners </w:t>
      </w:r>
      <w:r w:rsidRPr="0015606B">
        <w:t xml:space="preserve">to follow to accomplish </w:t>
      </w:r>
      <w:r>
        <w:t>a</w:t>
      </w:r>
      <w:r w:rsidRPr="0015606B">
        <w:t xml:space="preserve"> task </w:t>
      </w:r>
      <w:r>
        <w:t>with</w:t>
      </w:r>
      <w:r w:rsidRPr="0015606B">
        <w:t xml:space="preserve"> guidelines on how to organize </w:t>
      </w:r>
      <w:r>
        <w:t>information.  It introduces learners to</w:t>
      </w:r>
      <w:r w:rsidRPr="0015606B">
        <w:t xml:space="preserve"> preselected resources</w:t>
      </w:r>
      <w:r>
        <w:t>.</w:t>
      </w:r>
    </w:p>
    <w:p w:rsidR="00F374B7" w:rsidRPr="0015606B" w:rsidRDefault="00F374B7" w:rsidP="00F374B7">
      <w:pPr>
        <w:pStyle w:val="ListParagraph"/>
        <w:numPr>
          <w:ilvl w:val="0"/>
          <w:numId w:val="39"/>
        </w:numPr>
        <w:spacing w:before="60" w:after="60"/>
        <w:contextualSpacing w:val="0"/>
      </w:pPr>
      <w:r w:rsidRPr="0015606B">
        <w:t>An evaluation in which student’s performance will be assessed.</w:t>
      </w:r>
    </w:p>
    <w:p w:rsidR="00F374B7" w:rsidRPr="0015606B" w:rsidRDefault="00F374B7" w:rsidP="00F374B7">
      <w:pPr>
        <w:pStyle w:val="ListParagraph"/>
        <w:numPr>
          <w:ilvl w:val="0"/>
          <w:numId w:val="39"/>
        </w:numPr>
        <w:spacing w:before="60" w:after="60"/>
        <w:contextualSpacing w:val="0"/>
      </w:pPr>
      <w:r w:rsidRPr="0015606B">
        <w:t>A conclusion which summarizes the teaching goal as a result of completing the activity and that reminds learners of what they have taken into consideration (Dodge, 1995).</w:t>
      </w:r>
    </w:p>
    <w:p w:rsidR="00F374B7" w:rsidRPr="0015606B" w:rsidRDefault="00F374B7" w:rsidP="00F374B7">
      <w:r w:rsidRPr="0015606B">
        <w:t xml:space="preserve">Braun (1999) states that middle school teachers can control and use the power of Internet technology and integrate it into their instruction. Loveless (2001) states that the computer can improve students writing skills and can help them to </w:t>
      </w:r>
      <w:r>
        <w:t>improve their</w:t>
      </w:r>
      <w:r w:rsidRPr="0015606B">
        <w:t xml:space="preserve"> writing. Traditionally, most writing teachers regard writing as a product and emphasize grammatical features of a text. Writing teachers are usually conscious of linguistic knowledge, vocabulary choices, and syntactic patterns (Hyland, 2003). </w:t>
      </w:r>
    </w:p>
    <w:p w:rsidR="00F374B7" w:rsidRPr="0015606B" w:rsidRDefault="00F374B7" w:rsidP="00F374B7">
      <w:r w:rsidRPr="0015606B">
        <w:t>According to Richards and Renandya (2002)</w:t>
      </w:r>
      <w:r>
        <w:t>,</w:t>
      </w:r>
      <w:r w:rsidRPr="0015606B">
        <w:t xml:space="preserve"> there are highly complex skills in writing</w:t>
      </w:r>
      <w:r>
        <w:t xml:space="preserve"> and </w:t>
      </w:r>
      <w:r w:rsidRPr="0015606B">
        <w:t>writers should consider higher level skills of planning and organizing as well as lower level skills of spelling, punctuation, word choice. Richards and Renandya (2002) cite Seow (1993) and state that process approach involves four basic stages – planning, drafting, revising, and editing. The stages may not be in this order. In fact many good writers use non–linear approach</w:t>
      </w:r>
      <w:r>
        <w:t>es</w:t>
      </w:r>
      <w:r w:rsidRPr="0015606B">
        <w:t xml:space="preserve">. </w:t>
      </w:r>
      <w:r>
        <w:t>At each stage, wr</w:t>
      </w:r>
      <w:r w:rsidRPr="0015606B">
        <w:t>iters can go back to earlier stages to make meaning clear.</w:t>
      </w:r>
    </w:p>
    <w:p w:rsidR="00F374B7" w:rsidRPr="0015606B" w:rsidRDefault="00F374B7" w:rsidP="00F374B7">
      <w:r>
        <w:t>Webquest</w:t>
      </w:r>
      <w:r w:rsidRPr="0015606B">
        <w:t xml:space="preserve"> can be a powerful tool for web</w:t>
      </w:r>
      <w:r>
        <w:t>-</w:t>
      </w:r>
      <w:r w:rsidRPr="0015606B">
        <w:t xml:space="preserve">based learning. </w:t>
      </w:r>
      <w:r>
        <w:t xml:space="preserve"> Webquest</w:t>
      </w:r>
      <w:r w:rsidRPr="0015606B">
        <w:t xml:space="preserve"> levels of activities </w:t>
      </w:r>
      <w:r>
        <w:t>are</w:t>
      </w:r>
      <w:r w:rsidRPr="0015606B">
        <w:t xml:space="preserve"> suitable for step</w:t>
      </w:r>
      <w:r>
        <w:t>-</w:t>
      </w:r>
      <w:r w:rsidRPr="0015606B">
        <w:t>by</w:t>
      </w:r>
      <w:r>
        <w:t>-</w:t>
      </w:r>
      <w:r w:rsidRPr="0015606B">
        <w:t xml:space="preserve">step development </w:t>
      </w:r>
      <w:r>
        <w:t>of</w:t>
      </w:r>
      <w:r w:rsidRPr="0015606B">
        <w:t xml:space="preserve"> the writing</w:t>
      </w:r>
      <w:r>
        <w:t xml:space="preserve"> process</w:t>
      </w:r>
      <w:r w:rsidRPr="0015606B">
        <w:t>. At the pre</w:t>
      </w:r>
      <w:r>
        <w:t>-</w:t>
      </w:r>
      <w:r w:rsidRPr="0015606B">
        <w:t xml:space="preserve">writing stage, students </w:t>
      </w:r>
      <w:r>
        <w:t>are</w:t>
      </w:r>
      <w:r w:rsidRPr="0015606B">
        <w:t xml:space="preserve"> made familiar with the task or problem at the introduction of web quest lesson plan. </w:t>
      </w:r>
      <w:r>
        <w:t>This</w:t>
      </w:r>
      <w:r w:rsidRPr="0015606B">
        <w:t xml:space="preserve"> will encourage and provoke students’ thought for getting started. Following a given process, students then search preselected internet resources pertinent to the task or problem. At </w:t>
      </w:r>
      <w:r>
        <w:t xml:space="preserve">the </w:t>
      </w:r>
      <w:r w:rsidRPr="0015606B">
        <w:t>writing stage</w:t>
      </w:r>
      <w:r>
        <w:t>,</w:t>
      </w:r>
      <w:r w:rsidRPr="0015606B">
        <w:t xml:space="preserve"> students will analyze and synthesize their finding</w:t>
      </w:r>
      <w:r>
        <w:t>s</w:t>
      </w:r>
      <w:r w:rsidRPr="0015606B">
        <w:t xml:space="preserve"> from internet</w:t>
      </w:r>
      <w:r>
        <w:t>-</w:t>
      </w:r>
      <w:r w:rsidRPr="0015606B">
        <w:t xml:space="preserve">linked information. At the post writing stage, students will discuss and share the information through peer review and teacher </w:t>
      </w:r>
      <w:r w:rsidRPr="0015606B">
        <w:lastRenderedPageBreak/>
        <w:t xml:space="preserve">feedback. </w:t>
      </w:r>
      <w:r>
        <w:t xml:space="preserve"> Webquest</w:t>
      </w:r>
      <w:r w:rsidRPr="0015606B">
        <w:t xml:space="preserve"> writing instructions (WWI) construct input, increase interaction, and encourage output. Input, interaction and output are three essential elements for language acquisition. (Chuo, 2007). Input in WWI is from the web resources. Web</w:t>
      </w:r>
      <w:r>
        <w:t>-</w:t>
      </w:r>
      <w:r w:rsidRPr="0015606B">
        <w:t xml:space="preserve">based technology engages students in active reading to gain comprehensive input from it (Chapelle, 1997; Pica, Holliday, Lewis, &amp; Morgenthalter, 1998 as cited in Chuo, 2007). </w:t>
      </w:r>
    </w:p>
    <w:p w:rsidR="00F374B7" w:rsidRPr="0015606B" w:rsidRDefault="00F374B7" w:rsidP="00F374B7">
      <w:pPr>
        <w:pStyle w:val="Heading3"/>
      </w:pPr>
      <w:r w:rsidRPr="0015606B">
        <w:t xml:space="preserve">Theoretical </w:t>
      </w:r>
      <w:r>
        <w:t>b</w:t>
      </w:r>
      <w:r w:rsidRPr="0015606B">
        <w:t>ackground</w:t>
      </w:r>
    </w:p>
    <w:p w:rsidR="00F374B7" w:rsidRPr="0015606B" w:rsidRDefault="00F374B7" w:rsidP="00F374B7">
      <w:pPr>
        <w:pStyle w:val="Heading4"/>
      </w:pPr>
      <w:r>
        <w:t>Webquest</w:t>
      </w:r>
      <w:r w:rsidRPr="0015606B">
        <w:t xml:space="preserve"> system</w:t>
      </w:r>
    </w:p>
    <w:p w:rsidR="00F374B7" w:rsidRPr="0015606B" w:rsidRDefault="00F374B7" w:rsidP="00F374B7">
      <w:r>
        <w:t>Webquest</w:t>
      </w:r>
      <w:r w:rsidRPr="0015606B">
        <w:t xml:space="preserve"> is web-based activity</w:t>
      </w:r>
      <w:r>
        <w:t xml:space="preserve"> based on</w:t>
      </w:r>
      <w:r w:rsidRPr="0015606B">
        <w:t xml:space="preserve"> different learning theories. </w:t>
      </w:r>
      <w:r>
        <w:t xml:space="preserve"> Webquest</w:t>
      </w:r>
      <w:r w:rsidRPr="0015606B">
        <w:t xml:space="preserve"> is rooted in learner</w:t>
      </w:r>
      <w:r>
        <w:t>-</w:t>
      </w:r>
      <w:r w:rsidRPr="0015606B">
        <w:t>centered, project</w:t>
      </w:r>
      <w:r>
        <w:t>-</w:t>
      </w:r>
      <w:r w:rsidRPr="0015606B">
        <w:t>based learning (PBL), inquiry</w:t>
      </w:r>
      <w:r>
        <w:t>-</w:t>
      </w:r>
      <w:r w:rsidRPr="0015606B">
        <w:t>based and constructivist approach to learning (Hopkins</w:t>
      </w:r>
      <w:r>
        <w:t>,</w:t>
      </w:r>
      <w:r w:rsidRPr="0015606B">
        <w:t xml:space="preserve"> Moore &amp; Fowler, 2002; Matejka, 2004; Lamb &amp;Teclehaimanot 2005).</w:t>
      </w:r>
    </w:p>
    <w:p w:rsidR="00F374B7" w:rsidRPr="0015606B" w:rsidRDefault="00F374B7" w:rsidP="00F374B7">
      <w:r>
        <w:t>W</w:t>
      </w:r>
      <w:r w:rsidRPr="0015606B">
        <w:t>ebquest can be used in all fields of study and with a variety of age</w:t>
      </w:r>
      <w:r>
        <w:t xml:space="preserve"> </w:t>
      </w:r>
      <w:r w:rsidRPr="0015606B">
        <w:t xml:space="preserve">groups. </w:t>
      </w:r>
      <w:r>
        <w:t>Webquest</w:t>
      </w:r>
      <w:r w:rsidRPr="0015606B">
        <w:t xml:space="preserve"> ha</w:t>
      </w:r>
      <w:r>
        <w:t>s</w:t>
      </w:r>
      <w:r w:rsidRPr="0015606B">
        <w:t xml:space="preserve"> an important effect on the instructional system (Seamon, 2001; Lipscomb, 2003; Peterson. et al., 2003).</w:t>
      </w:r>
    </w:p>
    <w:p w:rsidR="00F374B7" w:rsidRPr="0015606B" w:rsidRDefault="00F374B7" w:rsidP="00F374B7">
      <w:r w:rsidRPr="0015606B">
        <w:t xml:space="preserve">A study conducted by Abbitt and </w:t>
      </w:r>
      <w:r>
        <w:t>O</w:t>
      </w:r>
      <w:r w:rsidRPr="0015606B">
        <w:t>phus (2008) about the positive and negative impact of</w:t>
      </w:r>
      <w:r>
        <w:t xml:space="preserve"> Webquest</w:t>
      </w:r>
      <w:r w:rsidRPr="0015606B">
        <w:t xml:space="preserve"> on teaching and learning, categorize</w:t>
      </w:r>
      <w:r>
        <w:t>s</w:t>
      </w:r>
      <w:r w:rsidRPr="0015606B">
        <w:t xml:space="preserve"> the review of published literature into three general groups:</w:t>
      </w:r>
    </w:p>
    <w:p w:rsidR="00F374B7" w:rsidRPr="0015606B" w:rsidRDefault="00F374B7" w:rsidP="00F374B7">
      <w:pPr>
        <w:pStyle w:val="ListParagraph"/>
        <w:numPr>
          <w:ilvl w:val="0"/>
          <w:numId w:val="40"/>
        </w:numPr>
        <w:contextualSpacing w:val="0"/>
      </w:pPr>
      <w:r w:rsidRPr="0015606B">
        <w:t>Attitude and perceptions of students: Many studies demonstrate generally positive attitudes and perceptions towards</w:t>
      </w:r>
      <w:r>
        <w:t xml:space="preserve"> Webquest</w:t>
      </w:r>
      <w:r w:rsidRPr="0015606B">
        <w:t xml:space="preserve"> (Carroll, Legg, </w:t>
      </w:r>
      <w:r>
        <w:t>&amp;</w:t>
      </w:r>
      <w:r w:rsidRPr="0015606B">
        <w:t xml:space="preserve"> Taylor, 2003; Fox, 1999; Gaskill, Mc Nulty, </w:t>
      </w:r>
      <w:r>
        <w:t>&amp;</w:t>
      </w:r>
      <w:r w:rsidRPr="0015606B">
        <w:t xml:space="preserve"> Brooks, 2006; Murray, 2006; Tsai, 2006; Santavenere, 2003).</w:t>
      </w:r>
    </w:p>
    <w:p w:rsidR="00F374B7" w:rsidRPr="0015606B" w:rsidRDefault="00F374B7" w:rsidP="00F374B7">
      <w:pPr>
        <w:pStyle w:val="ListParagraph"/>
        <w:numPr>
          <w:ilvl w:val="0"/>
          <w:numId w:val="40"/>
        </w:numPr>
        <w:contextualSpacing w:val="0"/>
      </w:pPr>
      <w:r w:rsidRPr="0015606B">
        <w:t>Effect on learning content and skills</w:t>
      </w:r>
      <w:r>
        <w:t xml:space="preserve">: </w:t>
      </w:r>
      <w:r w:rsidRPr="0015606B">
        <w:t>The study conduct by Tsai (2006) identifies a benefit of using the</w:t>
      </w:r>
      <w:r>
        <w:t xml:space="preserve"> Webquest</w:t>
      </w:r>
      <w:r w:rsidRPr="0015606B">
        <w:t xml:space="preserve"> model to increase students learning and achievement. In this research</w:t>
      </w:r>
      <w:r>
        <w:t>,</w:t>
      </w:r>
      <w:r w:rsidRPr="0015606B">
        <w:t xml:space="preserve"> Tsai examines the effect of using</w:t>
      </w:r>
      <w:r>
        <w:t xml:space="preserve"> Webquest</w:t>
      </w:r>
      <w:r w:rsidRPr="0015606B">
        <w:t xml:space="preserve"> model in an English</w:t>
      </w:r>
      <w:r>
        <w:t>-</w:t>
      </w:r>
      <w:r w:rsidRPr="0015606B">
        <w:t>as</w:t>
      </w:r>
      <w:r>
        <w:t>-</w:t>
      </w:r>
      <w:r w:rsidRPr="0015606B">
        <w:t>a</w:t>
      </w:r>
      <w:r>
        <w:t>-</w:t>
      </w:r>
      <w:r w:rsidRPr="0015606B">
        <w:t>foreign</w:t>
      </w:r>
      <w:r>
        <w:t>-</w:t>
      </w:r>
      <w:r w:rsidRPr="0015606B">
        <w:t xml:space="preserve">language program. </w:t>
      </w:r>
      <w:r>
        <w:t>L</w:t>
      </w:r>
      <w:r w:rsidRPr="0015606B">
        <w:t xml:space="preserve">earners who </w:t>
      </w:r>
      <w:r>
        <w:t>used Webquest</w:t>
      </w:r>
      <w:r w:rsidRPr="0015606B">
        <w:t xml:space="preserve"> activit</w:t>
      </w:r>
      <w:r>
        <w:t>es</w:t>
      </w:r>
      <w:r w:rsidRPr="0015606B">
        <w:t xml:space="preserve"> outperformed students who did</w:t>
      </w:r>
      <w:r>
        <w:t xml:space="preserve"> </w:t>
      </w:r>
      <w:r w:rsidRPr="0015606B">
        <w:t>n</w:t>
      </w:r>
      <w:r>
        <w:t>o</w:t>
      </w:r>
      <w:r w:rsidRPr="0015606B">
        <w:t>t work with</w:t>
      </w:r>
      <w:r>
        <w:t xml:space="preserve"> Webquest</w:t>
      </w:r>
      <w:r w:rsidRPr="0015606B">
        <w:t xml:space="preserve"> in vocabulary performance and story reading performance</w:t>
      </w:r>
      <w:r>
        <w:t>;</w:t>
      </w:r>
      <w:r w:rsidRPr="0015606B">
        <w:t xml:space="preserve"> however no significant difference was found </w:t>
      </w:r>
      <w:r>
        <w:t>for</w:t>
      </w:r>
      <w:r w:rsidRPr="0015606B">
        <w:t xml:space="preserve"> thematic reading comprehension. </w:t>
      </w:r>
    </w:p>
    <w:p w:rsidR="00F374B7" w:rsidRPr="0015606B" w:rsidRDefault="00F374B7" w:rsidP="00F374B7">
      <w:pPr>
        <w:pStyle w:val="ListParagraph"/>
        <w:numPr>
          <w:ilvl w:val="0"/>
          <w:numId w:val="40"/>
        </w:numPr>
        <w:contextualSpacing w:val="0"/>
      </w:pPr>
      <w:r w:rsidRPr="0015606B">
        <w:t>The cognitive issue of</w:t>
      </w:r>
      <w:r>
        <w:t xml:space="preserve"> Webquest: </w:t>
      </w:r>
      <w:r w:rsidRPr="0015606B">
        <w:t>A study by Kanuka, Routke, and Leflamme (2007), demonstrate</w:t>
      </w:r>
      <w:r>
        <w:t>d</w:t>
      </w:r>
      <w:r w:rsidRPr="0015606B">
        <w:t xml:space="preserve"> that</w:t>
      </w:r>
      <w:r>
        <w:t xml:space="preserve"> Webquest</w:t>
      </w:r>
      <w:r w:rsidRPr="0015606B">
        <w:t>s were better than some other activities at cognitive presence. Popham and Wentworth (2003</w:t>
      </w:r>
      <w:r>
        <w:t xml:space="preserve"> studied</w:t>
      </w:r>
      <w:r w:rsidRPr="0015606B">
        <w:t xml:space="preserve"> the cognitive requirements related to problem-solving nature of</w:t>
      </w:r>
      <w:r>
        <w:t xml:space="preserve"> Webquest</w:t>
      </w:r>
      <w:r w:rsidRPr="0015606B">
        <w:t xml:space="preserve"> and found positive correlation between problem-solving activities and critical thinking</w:t>
      </w:r>
      <w:r>
        <w:t>.</w:t>
      </w:r>
    </w:p>
    <w:p w:rsidR="00F374B7" w:rsidRPr="0015606B" w:rsidRDefault="00F374B7" w:rsidP="00F374B7">
      <w:r w:rsidRPr="0015606B">
        <w:t>Technology and Writing</w:t>
      </w:r>
      <w:r>
        <w:t xml:space="preserve">: </w:t>
      </w:r>
      <w:r w:rsidRPr="0015606B">
        <w:t xml:space="preserve">According to Warschauer (2001), the use of networked technology in </w:t>
      </w:r>
      <w:r>
        <w:t xml:space="preserve">a </w:t>
      </w:r>
      <w:r w:rsidRPr="0015606B">
        <w:t>second or foreign language course has split the pattern of teacher-centered routing into a more student-</w:t>
      </w:r>
      <w:r>
        <w:t>c</w:t>
      </w:r>
      <w:r w:rsidRPr="0015606B">
        <w:t>entered work setting. The nature of communication via computer writing permits students to promote and examine their views on significant topics related to second language writing.</w:t>
      </w:r>
    </w:p>
    <w:p w:rsidR="00F374B7" w:rsidRPr="0015606B" w:rsidRDefault="00F374B7" w:rsidP="00F374B7">
      <w:r w:rsidRPr="0015606B">
        <w:t>Electronic writing causes students to pay more attention to the structure of what they are writing and to create more complex language</w:t>
      </w:r>
      <w:r>
        <w:t>,</w:t>
      </w:r>
      <w:r w:rsidRPr="0015606B">
        <w:t xml:space="preserve"> syntactically enhancing the overall language development (Warschauer, 1999).</w:t>
      </w:r>
    </w:p>
    <w:p w:rsidR="00F374B7" w:rsidRPr="0015606B" w:rsidRDefault="00F374B7" w:rsidP="00F374B7">
      <w:r w:rsidRPr="0015606B">
        <w:t>According to Williamson Pence (1989), computer tools are effective applications that promote the writing process in all stages. Applying computer in writing noticeably develop</w:t>
      </w:r>
      <w:r>
        <w:t>s</w:t>
      </w:r>
      <w:r w:rsidRPr="0015606B">
        <w:t xml:space="preserve"> the quantity and quality of student writing (Goldberg, Russell, Cook, 2003).</w:t>
      </w:r>
    </w:p>
    <w:p w:rsidR="00F374B7" w:rsidRPr="0015606B" w:rsidRDefault="00F374B7" w:rsidP="00F374B7">
      <w:r w:rsidRPr="0015606B">
        <w:t>Researches on the use of technology demonstrate that computer tools can enhance collaborative and interactive environment, can foster the writing process and support the social view of learning (Jonassen, 2005).</w:t>
      </w:r>
    </w:p>
    <w:p w:rsidR="00F374B7" w:rsidRPr="0015606B" w:rsidRDefault="00F374B7" w:rsidP="00F374B7">
      <w:r w:rsidRPr="0015606B">
        <w:lastRenderedPageBreak/>
        <w:t xml:space="preserve">Practicing the process skills and strategies via collaboration with teachers and peers </w:t>
      </w:r>
      <w:r>
        <w:t xml:space="preserve">enables </w:t>
      </w:r>
      <w:r w:rsidRPr="0015606B">
        <w:t>students to become independent writer</w:t>
      </w:r>
      <w:r>
        <w:t>s</w:t>
      </w:r>
      <w:r w:rsidRPr="0015606B">
        <w:t xml:space="preserve"> (Read, 2010).</w:t>
      </w:r>
    </w:p>
    <w:p w:rsidR="00F374B7" w:rsidRPr="0015606B" w:rsidRDefault="00F374B7" w:rsidP="00F374B7">
      <w:r w:rsidRPr="0015606B">
        <w:t>According to Warren et.al</w:t>
      </w:r>
      <w:r>
        <w:t>.</w:t>
      </w:r>
      <w:r w:rsidRPr="0015606B">
        <w:t xml:space="preserve"> (2008)</w:t>
      </w:r>
      <w:r>
        <w:t>,</w:t>
      </w:r>
      <w:r w:rsidRPr="0015606B">
        <w:t xml:space="preserve"> without worrying about the type of computer instruction programs teachers </w:t>
      </w:r>
      <w:r>
        <w:t xml:space="preserve">in </w:t>
      </w:r>
      <w:r w:rsidRPr="0015606B">
        <w:t xml:space="preserve">writing </w:t>
      </w:r>
      <w:r>
        <w:t>instruction</w:t>
      </w:r>
      <w:r w:rsidRPr="0015606B">
        <w:t xml:space="preserve">, </w:t>
      </w:r>
      <w:r>
        <w:t>increased</w:t>
      </w:r>
      <w:r w:rsidRPr="0015606B">
        <w:t xml:space="preserve"> educator time on </w:t>
      </w:r>
      <w:r>
        <w:t xml:space="preserve">the </w:t>
      </w:r>
      <w:r w:rsidRPr="0015606B">
        <w:t xml:space="preserve">writing task </w:t>
      </w:r>
      <w:r>
        <w:t xml:space="preserve">is </w:t>
      </w:r>
      <w:r w:rsidRPr="0015606B">
        <w:t>an important factor in developing writing performance.</w:t>
      </w:r>
    </w:p>
    <w:p w:rsidR="00F374B7" w:rsidRPr="0015606B" w:rsidRDefault="00F374B7" w:rsidP="00F374B7">
      <w:r w:rsidRPr="0015606B">
        <w:t>MCGheen &amp; Lew (2007), point out that teacher perceptions and personal view and attitude on how to teach writing can influence the way writing is taught.</w:t>
      </w:r>
    </w:p>
    <w:p w:rsidR="00F374B7" w:rsidRPr="0015606B" w:rsidRDefault="00F374B7" w:rsidP="00F374B7">
      <w:r w:rsidRPr="0015606B">
        <w:t>Writing skill can be improved by the</w:t>
      </w:r>
      <w:r>
        <w:t xml:space="preserve"> Webquest</w:t>
      </w:r>
      <w:r w:rsidRPr="0015606B">
        <w:t xml:space="preserve"> instruction system. Students have to solve world related affairs from authentic materials </w:t>
      </w:r>
      <w:r>
        <w:t>using Webquest</w:t>
      </w:r>
      <w:r w:rsidRPr="0015606B">
        <w:t xml:space="preserve">. Learners have </w:t>
      </w:r>
      <w:r>
        <w:t xml:space="preserve">the </w:t>
      </w:r>
      <w:r w:rsidRPr="0015606B">
        <w:t>opportunity to access authentic language from the web through reading (Murry</w:t>
      </w:r>
      <w:r>
        <w:t xml:space="preserve"> </w:t>
      </w:r>
      <w:r w:rsidRPr="0015606B">
        <w:t xml:space="preserve">&amp; Mcpherson, 2004). </w:t>
      </w:r>
      <w:r>
        <w:t xml:space="preserve"> Webquest</w:t>
      </w:r>
      <w:r w:rsidRPr="0015606B">
        <w:t xml:space="preserve">s provide learners situations to interact and communicate through engagement with real tasks. It </w:t>
      </w:r>
      <w:r>
        <w:t>opens</w:t>
      </w:r>
      <w:r w:rsidRPr="0015606B">
        <w:t xml:space="preserve"> new instructional opportunit</w:t>
      </w:r>
      <w:r>
        <w:t>ies</w:t>
      </w:r>
      <w:r w:rsidRPr="0015606B">
        <w:t xml:space="preserve"> </w:t>
      </w:r>
      <w:r>
        <w:t>to</w:t>
      </w:r>
      <w:r w:rsidRPr="0015606B">
        <w:t xml:space="preserve"> promot</w:t>
      </w:r>
      <w:r>
        <w:t>e</w:t>
      </w:r>
      <w:r w:rsidRPr="0015606B">
        <w:t xml:space="preserve"> reading and writing skills (Peterson et al, 2003). Instructors who make </w:t>
      </w:r>
      <w:r>
        <w:t>effective</w:t>
      </w:r>
      <w:r w:rsidRPr="0015606B">
        <w:t xml:space="preserve"> use of technology </w:t>
      </w:r>
      <w:r>
        <w:t>can</w:t>
      </w:r>
      <w:r w:rsidRPr="0015606B">
        <w:t xml:space="preserve"> make reading and writing more communicative and authentic </w:t>
      </w:r>
      <w:r>
        <w:t>when they</w:t>
      </w:r>
      <w:r w:rsidRPr="0015606B">
        <w:t xml:space="preserve"> apply</w:t>
      </w:r>
      <w:r>
        <w:t xml:space="preserve"> the Webquest</w:t>
      </w:r>
      <w:r w:rsidRPr="0015606B">
        <w:t xml:space="preserve"> instruction system (Egbert &amp; Handson Smith, 1999).</w:t>
      </w:r>
      <w:r>
        <w:t xml:space="preserve"> </w:t>
      </w:r>
      <w:r w:rsidRPr="0015606B">
        <w:t>The study by Chuo (2007) examined the effect of the</w:t>
      </w:r>
      <w:r>
        <w:t xml:space="preserve"> Webquest</w:t>
      </w:r>
      <w:r w:rsidRPr="0015606B">
        <w:t xml:space="preserve"> writing Instruction on EFL learner's writing performance, writing apprehension, and perception. According to the findings, the use of</w:t>
      </w:r>
      <w:r>
        <w:t xml:space="preserve"> Webquest</w:t>
      </w:r>
      <w:r w:rsidRPr="0015606B">
        <w:t xml:space="preserve"> instruction program enhanced students’ writing performance more than the traditional writing </w:t>
      </w:r>
      <w:r>
        <w:t>i</w:t>
      </w:r>
      <w:r w:rsidRPr="0015606B">
        <w:t>nstruction. The students also demonstrated positive perception of the WWI.</w:t>
      </w:r>
    </w:p>
    <w:p w:rsidR="00F374B7" w:rsidRPr="0015606B" w:rsidRDefault="00F374B7" w:rsidP="00F374B7">
      <w:r w:rsidRPr="0015606B">
        <w:t>Despite the potential advantages of</w:t>
      </w:r>
      <w:r>
        <w:t xml:space="preserve"> Webquest</w:t>
      </w:r>
      <w:r w:rsidRPr="0015606B">
        <w:t xml:space="preserve"> instruction for enhancing students’ development of writing, research on learning outcomes following</w:t>
      </w:r>
      <w:r>
        <w:t xml:space="preserve"> Webquest</w:t>
      </w:r>
      <w:r w:rsidRPr="0015606B">
        <w:t xml:space="preserve"> instruction in EFL and EFL settings is still limited (e.g., Tsai, 2005; Chuo, 2007).</w:t>
      </w:r>
    </w:p>
    <w:p w:rsidR="00F374B7" w:rsidRPr="0015606B" w:rsidRDefault="00F374B7" w:rsidP="00F374B7">
      <w:r w:rsidRPr="0015606B">
        <w:t>More research needs to be conducted regarding writing performance through</w:t>
      </w:r>
      <w:r>
        <w:t xml:space="preserve"> Webquest</w:t>
      </w:r>
      <w:r w:rsidRPr="0015606B">
        <w:t xml:space="preserve"> instruction in foreign language learning contexts.</w:t>
      </w:r>
    </w:p>
    <w:p w:rsidR="00F374B7" w:rsidRPr="0015606B" w:rsidRDefault="00F374B7" w:rsidP="00F374B7">
      <w:pPr>
        <w:pStyle w:val="Heading3"/>
      </w:pPr>
      <w:r w:rsidRPr="0015606B">
        <w:t>The Present Study</w:t>
      </w:r>
    </w:p>
    <w:p w:rsidR="00F374B7" w:rsidRPr="0015606B" w:rsidRDefault="00F374B7" w:rsidP="00F374B7">
      <w:r w:rsidRPr="0015606B">
        <w:t>The present brief review of the related literature reveled that some studies have examined the benefits of</w:t>
      </w:r>
      <w:r>
        <w:t xml:space="preserve"> Webquest</w:t>
      </w:r>
      <w:r w:rsidRPr="0015606B">
        <w:t xml:space="preserve"> instruction system. Moreover, the number of studies about the effect of</w:t>
      </w:r>
      <w:r>
        <w:t xml:space="preserve"> Webquest</w:t>
      </w:r>
      <w:r w:rsidRPr="0015606B">
        <w:t xml:space="preserve"> on learning different skills is limited and to the best of my knowledge, no research has been conducted in Iran on the impact of</w:t>
      </w:r>
      <w:r>
        <w:t xml:space="preserve"> Webquest</w:t>
      </w:r>
      <w:r w:rsidRPr="0015606B">
        <w:t xml:space="preserve"> instruction system, attitude of students toward</w:t>
      </w:r>
      <w:r>
        <w:t xml:space="preserve"> Webquest</w:t>
      </w:r>
      <w:r w:rsidRPr="0015606B">
        <w:t>, their perception and motivation on</w:t>
      </w:r>
      <w:r>
        <w:t xml:space="preserve"> Webquest</w:t>
      </w:r>
      <w:r w:rsidRPr="0015606B">
        <w:t xml:space="preserve"> especially in an EFL settings. In order to fill this gap, the present study seeks to answer whether</w:t>
      </w:r>
      <w:r>
        <w:t xml:space="preserve"> Webquest</w:t>
      </w:r>
      <w:r w:rsidRPr="0015606B">
        <w:t xml:space="preserve"> use have an impact on writing performance of Iranian learners and the following research questions were proposed:</w:t>
      </w:r>
    </w:p>
    <w:p w:rsidR="00F374B7" w:rsidRPr="0015606B" w:rsidRDefault="00F374B7" w:rsidP="00F374B7">
      <w:pPr>
        <w:ind w:left="720"/>
      </w:pPr>
      <w:r w:rsidRPr="0015606B">
        <w:t>Q1. Does</w:t>
      </w:r>
      <w:r>
        <w:t xml:space="preserve"> Webquest</w:t>
      </w:r>
      <w:r w:rsidRPr="0015606B">
        <w:t xml:space="preserve"> instruction system have any significant effect on Iranian intermediate EFL learners’ writing performance?</w:t>
      </w:r>
    </w:p>
    <w:p w:rsidR="00F374B7" w:rsidRPr="0015606B" w:rsidRDefault="00F374B7" w:rsidP="00F374B7">
      <w:pPr>
        <w:ind w:left="720"/>
      </w:pPr>
      <w:r w:rsidRPr="0015606B">
        <w:t>Q2. Do Iranian intermediate EFL learners have positive perception</w:t>
      </w:r>
      <w:r>
        <w:t xml:space="preserve"> </w:t>
      </w:r>
      <w:r w:rsidRPr="0015606B">
        <w:t>of</w:t>
      </w:r>
      <w:r>
        <w:t xml:space="preserve"> Webquest</w:t>
      </w:r>
      <w:r w:rsidRPr="0015606B">
        <w:t xml:space="preserve"> instruction system?</w:t>
      </w:r>
    </w:p>
    <w:p w:rsidR="00F374B7" w:rsidRPr="0015606B" w:rsidRDefault="00F374B7" w:rsidP="00F374B7">
      <w:pPr>
        <w:pStyle w:val="Heading3"/>
      </w:pPr>
      <w:r w:rsidRPr="0015606B">
        <w:t>Method</w:t>
      </w:r>
    </w:p>
    <w:p w:rsidR="00F374B7" w:rsidRPr="0015606B" w:rsidRDefault="00F374B7" w:rsidP="00F374B7">
      <w:pPr>
        <w:pStyle w:val="Heading4"/>
      </w:pPr>
      <w:r w:rsidRPr="0015606B">
        <w:t>Participants</w:t>
      </w:r>
    </w:p>
    <w:p w:rsidR="00F374B7" w:rsidRPr="0015606B" w:rsidRDefault="00F374B7" w:rsidP="00F374B7">
      <w:r w:rsidRPr="0015606B">
        <w:t>This research was conducted at Shokohe Enghelab Language Institute in Babol. Participants were selected from intermediate EF</w:t>
      </w:r>
      <w:r>
        <w:t>L</w:t>
      </w:r>
      <w:r w:rsidRPr="0015606B">
        <w:t xml:space="preserve"> learners aged 14-17. In this experiment, participants of the study were chosen voluntarily and according to their access to the internet out of the class. The participants of this study were randomly selected from among two classes with the total population of 47 students. In order to make sure that the participants were of the same level of proficiency, Nelson English Language Test developed by W</w:t>
      </w:r>
      <w:r>
        <w:t>illiam S</w:t>
      </w:r>
      <w:r w:rsidRPr="0015606B">
        <w:t>. Fowler and N</w:t>
      </w:r>
      <w:r>
        <w:t>elson</w:t>
      </w:r>
      <w:r w:rsidRPr="0015606B">
        <w:t xml:space="preserve"> Coe was </w:t>
      </w:r>
      <w:r w:rsidRPr="0015606B">
        <w:lastRenderedPageBreak/>
        <w:t>administered prior to the study. Regarding the participants’ score on Nelson, the learners whose scores were within one standard deviation above and below the mean in this test were chosen as the participants of the study. Thirty-two participants were randomly allocated to one experimental group and one control group. Experimental group (N=1 6) received</w:t>
      </w:r>
      <w:r>
        <w:t xml:space="preserve"> Webquest</w:t>
      </w:r>
      <w:r w:rsidRPr="0015606B">
        <w:t xml:space="preserve"> writing instruction program and the control group (N=16) received traditional writing instruction. Assignment of the participants to the experimental and control groups were random.</w:t>
      </w:r>
    </w:p>
    <w:p w:rsidR="00F374B7" w:rsidRPr="0015606B" w:rsidRDefault="00F374B7" w:rsidP="00F374B7">
      <w:pPr>
        <w:pStyle w:val="Heading4"/>
      </w:pPr>
      <w:r w:rsidRPr="0015606B">
        <w:t>Instruments</w:t>
      </w:r>
    </w:p>
    <w:p w:rsidR="00F374B7" w:rsidRPr="0015606B" w:rsidRDefault="00F374B7" w:rsidP="00F374B7">
      <w:r w:rsidRPr="0015606B">
        <w:t xml:space="preserve">The participants of this study were presented with their regular coursebooks. Students in both groups were supposed to have a writing task according to the writing topics of their book every week as </w:t>
      </w:r>
      <w:r>
        <w:t xml:space="preserve">a </w:t>
      </w:r>
      <w:r w:rsidRPr="0015606B">
        <w:t>home assignment. In order to conduct this research</w:t>
      </w:r>
      <w:r>
        <w:t>,</w:t>
      </w:r>
      <w:r w:rsidRPr="0015606B">
        <w:t xml:space="preserve"> the following instruments were used:</w:t>
      </w:r>
    </w:p>
    <w:p w:rsidR="00F374B7" w:rsidRPr="0015606B" w:rsidRDefault="00F374B7" w:rsidP="00F374B7">
      <w:pPr>
        <w:pStyle w:val="ListParagraph"/>
        <w:numPr>
          <w:ilvl w:val="0"/>
          <w:numId w:val="42"/>
        </w:numPr>
        <w:spacing w:before="60" w:after="60"/>
        <w:contextualSpacing w:val="0"/>
      </w:pPr>
      <w:r w:rsidRPr="0015606B">
        <w:t>Writing performance test of Nelson w</w:t>
      </w:r>
      <w:r>
        <w:t>as</w:t>
      </w:r>
      <w:r w:rsidRPr="0015606B">
        <w:t xml:space="preserve"> administered prior to the experiment</w:t>
      </w:r>
      <w:r>
        <w:t xml:space="preserve"> </w:t>
      </w:r>
      <w:r w:rsidRPr="0015606B">
        <w:t xml:space="preserve">to make sure that participants </w:t>
      </w:r>
      <w:r>
        <w:t>we</w:t>
      </w:r>
      <w:r w:rsidRPr="0015606B">
        <w:t>re homogenous.</w:t>
      </w:r>
    </w:p>
    <w:p w:rsidR="00F374B7" w:rsidRPr="0015606B" w:rsidRDefault="00F374B7" w:rsidP="00F374B7">
      <w:pPr>
        <w:pStyle w:val="ListParagraph"/>
        <w:numPr>
          <w:ilvl w:val="0"/>
          <w:numId w:val="42"/>
        </w:numPr>
        <w:spacing w:before="60" w:after="60"/>
        <w:contextualSpacing w:val="0"/>
      </w:pPr>
      <w:r w:rsidRPr="0015606B">
        <w:t>The writing performance test consisted of a pretest and posttest in which participants were asked to perform a writing task on a familiar topic. Learners’ writing performance was assessed by the researcher and another skillful, experienced EFL teacher. Evaluation of participants’ writing was based on the following components according to Teep Attribute Writing Scale (Weir, 1990, Reproduced in Weigle, 2002). (see appendix A)</w:t>
      </w:r>
    </w:p>
    <w:p w:rsidR="00F374B7" w:rsidRPr="0015606B" w:rsidRDefault="00F374B7" w:rsidP="00F374B7">
      <w:pPr>
        <w:pStyle w:val="ListParagraph"/>
        <w:numPr>
          <w:ilvl w:val="0"/>
          <w:numId w:val="42"/>
        </w:numPr>
        <w:spacing w:before="60" w:after="60"/>
        <w:contextualSpacing w:val="0"/>
      </w:pPr>
      <w:r w:rsidRPr="0015606B">
        <w:t>The post</w:t>
      </w:r>
      <w:r>
        <w:t>-</w:t>
      </w:r>
      <w:r w:rsidRPr="0015606B">
        <w:t>instruction perception questionnaire (Chuo, 2007), was administered for this study. It was administered to measure student perception of web</w:t>
      </w:r>
      <w:r>
        <w:t>-</w:t>
      </w:r>
      <w:r w:rsidRPr="0015606B">
        <w:t>based learning as an experience in the</w:t>
      </w:r>
      <w:r>
        <w:t xml:space="preserve"> Webquest</w:t>
      </w:r>
      <w:r w:rsidRPr="0015606B">
        <w:t xml:space="preserve"> writing instruction system (see Appendix B).</w:t>
      </w:r>
    </w:p>
    <w:p w:rsidR="00F374B7" w:rsidRPr="0015606B" w:rsidRDefault="00F374B7" w:rsidP="00F374B7">
      <w:pPr>
        <w:pStyle w:val="Heading4"/>
      </w:pPr>
      <w:r w:rsidRPr="0015606B">
        <w:t>Procedure</w:t>
      </w:r>
    </w:p>
    <w:p w:rsidR="00F374B7" w:rsidRPr="0015606B" w:rsidRDefault="00F374B7" w:rsidP="00F374B7">
      <w:r w:rsidRPr="0015606B">
        <w:t>Data collection was conducted in the following order:</w:t>
      </w:r>
    </w:p>
    <w:p w:rsidR="00F374B7" w:rsidRPr="0015606B" w:rsidRDefault="00F374B7" w:rsidP="00F374B7">
      <w:r w:rsidRPr="0015606B">
        <w:t>At the beginning of the treatment, the practice test of Nelson was administered in order to determine participants’ level of general proficiency and their homogeneity in EFL. Then the writing performance pretest was administered to participants in the control and the experimental groups. The pretest topic was about the advantages and disadvantages of the internet. Students were asked to use specific reasons and examples to support their idea and to write a paragraph with 12-15 sentences in 50 minutes.</w:t>
      </w:r>
      <w:r>
        <w:t xml:space="preserve"> </w:t>
      </w:r>
      <w:r w:rsidRPr="0015606B">
        <w:t>The control group received traditional classroom writing instruction which focused on the products. According to students' text book, they had some writing exercises in each unit. They were expected to do their writing exercises on a piece of paper and were requested to deliver them to their teacher the next session. The teacher collected, corrected, and brought them back the next session. Then the teacher explained about their errors and gave suggestion about how to write effectively.</w:t>
      </w:r>
    </w:p>
    <w:p w:rsidR="00F374B7" w:rsidRPr="0015606B" w:rsidRDefault="00F374B7" w:rsidP="00F374B7">
      <w:r w:rsidRPr="0015606B">
        <w:t>The experimental group in addition to writing tasks assigned in their book received the</w:t>
      </w:r>
      <w:r>
        <w:t xml:space="preserve"> Webquest</w:t>
      </w:r>
      <w:r w:rsidRPr="0015606B">
        <w:t xml:space="preserve"> writing instruction lessons. The researcher integrated appropriate</w:t>
      </w:r>
      <w:r>
        <w:t xml:space="preserve"> Webquest</w:t>
      </w:r>
      <w:r w:rsidRPr="0015606B">
        <w:t xml:space="preserve"> lesson plans in line with the topic of their book into the syllabus. Four</w:t>
      </w:r>
      <w:r>
        <w:t xml:space="preserve"> Webquest</w:t>
      </w:r>
      <w:r w:rsidRPr="0015606B">
        <w:t xml:space="preserve"> tasks from Dodge’s Matrix of</w:t>
      </w:r>
      <w:r>
        <w:t xml:space="preserve"> Webquest</w:t>
      </w:r>
      <w:r w:rsidRPr="0015606B">
        <w:t xml:space="preserve"> Examples were adopted at www.</w:t>
      </w:r>
      <w:r>
        <w:t xml:space="preserve"> Webquest</w:t>
      </w:r>
      <w:r w:rsidRPr="0015606B">
        <w:t>.org and www.academics.uwww.edu and were modified to some extent by the researcher. Each</w:t>
      </w:r>
      <w:r>
        <w:t xml:space="preserve"> Webquest</w:t>
      </w:r>
      <w:r w:rsidRPr="0015606B">
        <w:t xml:space="preserve"> lesson was implemented for five sessions while students worked collaboratively in a group of four. They were discussed with the other groups and expanded their ideas. Peer feedback and teacher review were presented at class. The six attributes of</w:t>
      </w:r>
      <w:r>
        <w:t xml:space="preserve"> Webquest</w:t>
      </w:r>
      <w:r w:rsidRPr="0015606B">
        <w:t xml:space="preserve"> activity were adopted for each lesson plan. In the first week, instructor introduced the topic at the introduction part of the</w:t>
      </w:r>
      <w:r>
        <w:t xml:space="preserve"> Webquest</w:t>
      </w:r>
      <w:r w:rsidRPr="0015606B">
        <w:t xml:space="preserve"> and gained students attention at the prewriting stage. For example one of the</w:t>
      </w:r>
      <w:r>
        <w:t xml:space="preserve"> Webquest</w:t>
      </w:r>
      <w:r w:rsidRPr="0015606B">
        <w:t xml:space="preserve">’s topic was “Save your sport”. (see </w:t>
      </w:r>
      <w:r>
        <w:t>A</w:t>
      </w:r>
      <w:r w:rsidRPr="0015606B">
        <w:t>ppendix C). Then instructor introduced the activity, task, or problem and activated the students’ background knowledge. Students were assigned to a group of four and their role</w:t>
      </w:r>
      <w:r>
        <w:t>s</w:t>
      </w:r>
      <w:r w:rsidRPr="0015606B">
        <w:t xml:space="preserve"> were allocated in each group. For example, students’ task was to create a brochure that highlighted the </w:t>
      </w:r>
      <w:r w:rsidRPr="0015606B">
        <w:lastRenderedPageBreak/>
        <w:t>physical, social, and emotional benefits of the selected sport. Then students searched pre-selected internet resources related to the topic and in the next session they discussed difficulties and problem</w:t>
      </w:r>
      <w:r>
        <w:t>s</w:t>
      </w:r>
      <w:r w:rsidRPr="0015606B">
        <w:t xml:space="preserve"> encountered while searching. The teacher helped them to compile and analyze information. For example, they discussed the origins of their favorite sport like football and physical and mental benefits of playing it. Then, at the writing stage, students completed the task. They analyzed and synthesized what they had understood from the information gathered from the internet resources and conveyed it into a written assignments. Next, at the post-writing stage, students shared their written products and gave feedback and suggestion on each other’s task through peer review and revision. The teacher also gave feedback to their writing at the website and evaluated their task through the rubrics on evaluation part of the</w:t>
      </w:r>
      <w:r>
        <w:t xml:space="preserve"> Webquest</w:t>
      </w:r>
      <w:r w:rsidRPr="0015606B">
        <w:t>. Each</w:t>
      </w:r>
      <w:r>
        <w:t xml:space="preserve"> Webquest</w:t>
      </w:r>
      <w:r w:rsidRPr="0015606B">
        <w:t xml:space="preserve"> activity lasted five session. Four</w:t>
      </w:r>
      <w:r>
        <w:t xml:space="preserve"> Webquest</w:t>
      </w:r>
      <w:r w:rsidRPr="0015606B">
        <w:t xml:space="preserve"> lesson plans were conducted during 21 sessions. In fact, this is the regular length of the whole quarter at the Language Institute.</w:t>
      </w:r>
    </w:p>
    <w:p w:rsidR="00F374B7" w:rsidRPr="0015606B" w:rsidRDefault="00F374B7" w:rsidP="00F374B7">
      <w:r w:rsidRPr="0015606B">
        <w:t xml:space="preserve">A sample written task by a participant of experimental group: </w:t>
      </w:r>
    </w:p>
    <w:p w:rsidR="00F374B7" w:rsidRPr="0015606B" w:rsidRDefault="00F374B7" w:rsidP="00F374B7">
      <w:pPr>
        <w:ind w:left="360" w:right="360"/>
      </w:pPr>
      <w:r w:rsidRPr="0015606B">
        <w:t>Football or soccer is very famous sport in the world. The origins of football can be seen in China, Japan, Egypt, and Greece. Modern football game developed in England. There are two teams of eleven players. The game last 90 minutes. Players need good strength and power.</w:t>
      </w:r>
    </w:p>
    <w:p w:rsidR="00F374B7" w:rsidRPr="0015606B" w:rsidRDefault="00F374B7" w:rsidP="00F374B7">
      <w:r w:rsidRPr="0015606B">
        <w:t>There are some physical and mental benefits of playing football; for example, they reduce high blood pressure and high cholesterol. They also control body weight and diabetes. In addition, playing football are good for mental well- being. They reduce anxiety and increase your personality. They make you happy and generate a positive energy in you.</w:t>
      </w:r>
    </w:p>
    <w:p w:rsidR="00F374B7" w:rsidRPr="0015606B" w:rsidRDefault="00F374B7" w:rsidP="00F374B7">
      <w:r w:rsidRPr="0015606B">
        <w:t>Playing football involve</w:t>
      </w:r>
      <w:r>
        <w:t>s</w:t>
      </w:r>
      <w:r w:rsidRPr="0015606B">
        <w:t xml:space="preserve"> winning and losing. Children need to know both aspects of life. They learn how to communicate with each other as a team. There are a lot of advantageous of playing football, so go and play it today. </w:t>
      </w:r>
    </w:p>
    <w:p w:rsidR="00F374B7" w:rsidRPr="0015606B" w:rsidRDefault="00F374B7" w:rsidP="00F374B7">
      <w:r w:rsidRPr="0015606B">
        <w:t>At the end of the treatment, the writing performance post</w:t>
      </w:r>
      <w:r>
        <w:t>-</w:t>
      </w:r>
      <w:r w:rsidRPr="0015606B">
        <w:t>test was administered to participants in both groups. The post</w:t>
      </w:r>
      <w:r>
        <w:t>-</w:t>
      </w:r>
      <w:r w:rsidRPr="0015606B">
        <w:t>instruction perception questionnaire w</w:t>
      </w:r>
      <w:r>
        <w:t>as</w:t>
      </w:r>
      <w:r w:rsidRPr="0015606B">
        <w:t xml:space="preserve"> also administered to the experimental group who received the web quest instruction. </w:t>
      </w:r>
    </w:p>
    <w:p w:rsidR="00F374B7" w:rsidRPr="0015606B" w:rsidRDefault="00F374B7" w:rsidP="00F374B7">
      <w:pPr>
        <w:pStyle w:val="Heading3"/>
      </w:pPr>
      <w:r w:rsidRPr="0015606B">
        <w:t xml:space="preserve">Results and </w:t>
      </w:r>
      <w:r>
        <w:t>d</w:t>
      </w:r>
      <w:r w:rsidRPr="0015606B">
        <w:t>iscussion</w:t>
      </w:r>
    </w:p>
    <w:p w:rsidR="00F374B7" w:rsidRPr="0015606B" w:rsidRDefault="00F374B7" w:rsidP="00F374B7">
      <w:r w:rsidRPr="0015606B">
        <w:t>In order to analyze the data to check the null hypothesis one, first the descriptive statistics of participants’ writing performances of the two control and experimental groups at pretest (see Table 1), and at posttest (see Table 2) on Writing Test by the two raters were computed.</w:t>
      </w:r>
    </w:p>
    <w:p w:rsidR="00F374B7" w:rsidRPr="0015606B" w:rsidRDefault="00F374B7" w:rsidP="00F374B7">
      <w:pPr>
        <w:pStyle w:val="Heading5"/>
      </w:pPr>
      <w:r w:rsidRPr="0015606B">
        <w:t>Table 1</w:t>
      </w:r>
    </w:p>
    <w:p w:rsidR="00F374B7" w:rsidRPr="0015606B" w:rsidRDefault="00F374B7" w:rsidP="00F374B7">
      <w:pPr>
        <w:pStyle w:val="Heading5"/>
      </w:pPr>
      <w:r w:rsidRPr="0015606B">
        <w:t xml:space="preserve">Descriptive </w:t>
      </w:r>
      <w:r>
        <w:t>s</w:t>
      </w:r>
      <w:r w:rsidRPr="0015606B">
        <w:t xml:space="preserve">tatistics of </w:t>
      </w:r>
      <w:r>
        <w:t>t</w:t>
      </w:r>
      <w:r w:rsidRPr="0015606B">
        <w:t xml:space="preserve">wo </w:t>
      </w:r>
      <w:r>
        <w:t>g</w:t>
      </w:r>
      <w:r w:rsidRPr="0015606B">
        <w:t xml:space="preserve">roup's </w:t>
      </w:r>
      <w:r>
        <w:t>w</w:t>
      </w:r>
      <w:r w:rsidRPr="0015606B">
        <w:t xml:space="preserve">riting </w:t>
      </w:r>
      <w:r>
        <w:t>s</w:t>
      </w:r>
      <w:r w:rsidRPr="0015606B">
        <w:t xml:space="preserve">cores at </w:t>
      </w:r>
      <w:r>
        <w:t>p</w:t>
      </w:r>
      <w:r w:rsidRPr="0015606B">
        <w:t>retest</w:t>
      </w:r>
    </w:p>
    <w:tbl>
      <w:tblPr>
        <w:tblW w:w="7779"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681"/>
        <w:gridCol w:w="900"/>
        <w:gridCol w:w="900"/>
        <w:gridCol w:w="900"/>
        <w:gridCol w:w="810"/>
        <w:gridCol w:w="810"/>
        <w:gridCol w:w="810"/>
        <w:gridCol w:w="968"/>
      </w:tblGrid>
      <w:tr w:rsidR="00F374B7" w:rsidRPr="00AF618C" w:rsidTr="008C589D">
        <w:trPr>
          <w:cantSplit/>
          <w:trHeight w:val="345"/>
          <w:jc w:val="center"/>
        </w:trPr>
        <w:tc>
          <w:tcPr>
            <w:tcW w:w="1681" w:type="dxa"/>
            <w:tcBorders>
              <w:top w:val="single" w:sz="8" w:space="0" w:color="auto"/>
              <w:left w:val="single" w:sz="4" w:space="0" w:color="auto"/>
              <w:bottom w:val="single" w:sz="8"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29"/>
              <w:jc w:val="center"/>
              <w:rPr>
                <w:rFonts w:ascii="Arial" w:hAnsi="Arial" w:cs="Arial"/>
                <w:b/>
                <w:sz w:val="18"/>
                <w:szCs w:val="18"/>
              </w:rPr>
            </w:pPr>
            <w:r w:rsidRPr="008F6238">
              <w:rPr>
                <w:rFonts w:ascii="Arial" w:hAnsi="Arial" w:cs="Arial"/>
                <w:b/>
                <w:sz w:val="18"/>
                <w:szCs w:val="18"/>
              </w:rPr>
              <w:t>Group</w:t>
            </w:r>
          </w:p>
        </w:tc>
        <w:tc>
          <w:tcPr>
            <w:tcW w:w="900" w:type="dxa"/>
            <w:tcBorders>
              <w:top w:val="single" w:sz="8" w:space="0" w:color="auto"/>
              <w:left w:val="single" w:sz="4" w:space="0" w:color="auto"/>
              <w:bottom w:val="single" w:sz="8"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29" w:right="60"/>
              <w:jc w:val="center"/>
              <w:rPr>
                <w:rFonts w:ascii="Arial" w:hAnsi="Arial" w:cs="Arial"/>
                <w:b/>
                <w:sz w:val="18"/>
                <w:szCs w:val="18"/>
              </w:rPr>
            </w:pPr>
            <w:r w:rsidRPr="008F6238">
              <w:rPr>
                <w:rFonts w:ascii="Arial" w:hAnsi="Arial" w:cs="Arial"/>
                <w:b/>
                <w:sz w:val="18"/>
                <w:szCs w:val="18"/>
              </w:rPr>
              <w:t>N</w:t>
            </w:r>
          </w:p>
        </w:tc>
        <w:tc>
          <w:tcPr>
            <w:tcW w:w="900" w:type="dxa"/>
            <w:tcBorders>
              <w:top w:val="single" w:sz="8" w:space="0" w:color="auto"/>
              <w:left w:val="single" w:sz="4" w:space="0" w:color="auto"/>
              <w:bottom w:val="single" w:sz="8"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29" w:right="60"/>
              <w:jc w:val="center"/>
              <w:rPr>
                <w:rFonts w:ascii="Arial" w:hAnsi="Arial" w:cs="Arial"/>
                <w:b/>
                <w:sz w:val="18"/>
                <w:szCs w:val="18"/>
              </w:rPr>
            </w:pPr>
            <w:r w:rsidRPr="008F6238">
              <w:rPr>
                <w:rFonts w:ascii="Arial" w:hAnsi="Arial" w:cs="Arial"/>
                <w:b/>
                <w:sz w:val="18"/>
                <w:szCs w:val="18"/>
              </w:rPr>
              <w:t>Range</w:t>
            </w:r>
          </w:p>
        </w:tc>
        <w:tc>
          <w:tcPr>
            <w:tcW w:w="900" w:type="dxa"/>
            <w:tcBorders>
              <w:top w:val="single" w:sz="8" w:space="0" w:color="auto"/>
              <w:left w:val="single" w:sz="4" w:space="0" w:color="auto"/>
              <w:bottom w:val="single" w:sz="8"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29" w:right="60"/>
              <w:jc w:val="center"/>
              <w:rPr>
                <w:rFonts w:ascii="Arial" w:hAnsi="Arial" w:cs="Arial"/>
                <w:b/>
                <w:sz w:val="18"/>
                <w:szCs w:val="18"/>
              </w:rPr>
            </w:pPr>
            <w:r w:rsidRPr="008F6238">
              <w:rPr>
                <w:rFonts w:ascii="Arial" w:hAnsi="Arial" w:cs="Arial"/>
                <w:b/>
                <w:sz w:val="18"/>
                <w:szCs w:val="18"/>
              </w:rPr>
              <w:t>Min.</w:t>
            </w:r>
          </w:p>
        </w:tc>
        <w:tc>
          <w:tcPr>
            <w:tcW w:w="810" w:type="dxa"/>
            <w:tcBorders>
              <w:top w:val="single" w:sz="8" w:space="0" w:color="auto"/>
              <w:left w:val="single" w:sz="4" w:space="0" w:color="auto"/>
              <w:bottom w:val="single" w:sz="8"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29" w:right="60"/>
              <w:jc w:val="center"/>
              <w:rPr>
                <w:rFonts w:ascii="Arial" w:hAnsi="Arial" w:cs="Arial"/>
                <w:b/>
                <w:sz w:val="18"/>
                <w:szCs w:val="18"/>
              </w:rPr>
            </w:pPr>
            <w:r w:rsidRPr="008F6238">
              <w:rPr>
                <w:rFonts w:ascii="Arial" w:hAnsi="Arial" w:cs="Arial"/>
                <w:b/>
                <w:sz w:val="18"/>
                <w:szCs w:val="18"/>
              </w:rPr>
              <w:t>Max.</w:t>
            </w:r>
          </w:p>
        </w:tc>
        <w:tc>
          <w:tcPr>
            <w:tcW w:w="810" w:type="dxa"/>
            <w:tcBorders>
              <w:top w:val="single" w:sz="8" w:space="0" w:color="auto"/>
              <w:left w:val="single" w:sz="4" w:space="0" w:color="auto"/>
              <w:bottom w:val="single" w:sz="8"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29" w:right="60"/>
              <w:jc w:val="center"/>
              <w:rPr>
                <w:rFonts w:ascii="Arial" w:hAnsi="Arial" w:cs="Arial"/>
                <w:b/>
                <w:sz w:val="18"/>
                <w:szCs w:val="18"/>
              </w:rPr>
            </w:pPr>
            <w:r w:rsidRPr="008F6238">
              <w:rPr>
                <w:rFonts w:ascii="Arial" w:hAnsi="Arial" w:cs="Arial"/>
                <w:b/>
                <w:sz w:val="18"/>
                <w:szCs w:val="18"/>
              </w:rPr>
              <w:t>Mean</w:t>
            </w:r>
          </w:p>
        </w:tc>
        <w:tc>
          <w:tcPr>
            <w:tcW w:w="810" w:type="dxa"/>
            <w:tcBorders>
              <w:top w:val="single" w:sz="8" w:space="0" w:color="auto"/>
              <w:left w:val="single" w:sz="4" w:space="0" w:color="auto"/>
              <w:bottom w:val="single" w:sz="8"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29" w:right="60"/>
              <w:jc w:val="center"/>
              <w:rPr>
                <w:rFonts w:ascii="Arial" w:hAnsi="Arial" w:cs="Arial"/>
                <w:b/>
                <w:sz w:val="18"/>
                <w:szCs w:val="18"/>
              </w:rPr>
            </w:pPr>
            <w:r w:rsidRPr="008F6238">
              <w:rPr>
                <w:rFonts w:ascii="Arial" w:hAnsi="Arial" w:cs="Arial"/>
                <w:b/>
                <w:sz w:val="18"/>
                <w:szCs w:val="18"/>
              </w:rPr>
              <w:t>SD</w:t>
            </w:r>
          </w:p>
        </w:tc>
        <w:tc>
          <w:tcPr>
            <w:tcW w:w="968" w:type="dxa"/>
            <w:tcBorders>
              <w:top w:val="single" w:sz="8" w:space="0" w:color="auto"/>
              <w:left w:val="single" w:sz="4" w:space="0" w:color="auto"/>
              <w:bottom w:val="single" w:sz="8"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29" w:right="60"/>
              <w:jc w:val="center"/>
              <w:rPr>
                <w:rFonts w:ascii="Arial" w:hAnsi="Arial" w:cs="Arial"/>
                <w:b/>
                <w:sz w:val="18"/>
                <w:szCs w:val="18"/>
              </w:rPr>
            </w:pPr>
            <w:r w:rsidRPr="008F6238">
              <w:rPr>
                <w:rFonts w:ascii="Arial" w:hAnsi="Arial" w:cs="Arial"/>
                <w:b/>
                <w:sz w:val="18"/>
                <w:szCs w:val="18"/>
              </w:rPr>
              <w:t>Variance</w:t>
            </w:r>
          </w:p>
        </w:tc>
      </w:tr>
      <w:tr w:rsidR="00F374B7" w:rsidRPr="00AF618C" w:rsidTr="008C589D">
        <w:trPr>
          <w:cantSplit/>
          <w:trHeight w:val="345"/>
          <w:jc w:val="center"/>
        </w:trPr>
        <w:tc>
          <w:tcPr>
            <w:tcW w:w="1681" w:type="dxa"/>
            <w:tcBorders>
              <w:top w:val="single" w:sz="8"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rPr>
                <w:rFonts w:ascii="Times New Roman" w:hAnsi="Times New Roman"/>
                <w:sz w:val="20"/>
              </w:rPr>
            </w:pPr>
            <w:r w:rsidRPr="008F6238">
              <w:rPr>
                <w:rFonts w:ascii="Times New Roman" w:hAnsi="Times New Roman"/>
                <w:sz w:val="20"/>
              </w:rPr>
              <w:t>Control R1</w:t>
            </w:r>
          </w:p>
        </w:tc>
        <w:tc>
          <w:tcPr>
            <w:tcW w:w="900" w:type="dxa"/>
            <w:tcBorders>
              <w:top w:val="single" w:sz="8"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16</w:t>
            </w:r>
          </w:p>
        </w:tc>
        <w:tc>
          <w:tcPr>
            <w:tcW w:w="900" w:type="dxa"/>
            <w:tcBorders>
              <w:top w:val="single" w:sz="8"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4</w:t>
            </w:r>
          </w:p>
        </w:tc>
        <w:tc>
          <w:tcPr>
            <w:tcW w:w="900" w:type="dxa"/>
            <w:tcBorders>
              <w:top w:val="single" w:sz="8"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11</w:t>
            </w:r>
          </w:p>
        </w:tc>
        <w:tc>
          <w:tcPr>
            <w:tcW w:w="810" w:type="dxa"/>
            <w:tcBorders>
              <w:top w:val="single" w:sz="8"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15</w:t>
            </w:r>
          </w:p>
        </w:tc>
        <w:tc>
          <w:tcPr>
            <w:tcW w:w="810" w:type="dxa"/>
            <w:tcBorders>
              <w:top w:val="single" w:sz="8"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12.75</w:t>
            </w:r>
          </w:p>
        </w:tc>
        <w:tc>
          <w:tcPr>
            <w:tcW w:w="810" w:type="dxa"/>
            <w:tcBorders>
              <w:top w:val="single" w:sz="8"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1.390</w:t>
            </w:r>
          </w:p>
        </w:tc>
        <w:tc>
          <w:tcPr>
            <w:tcW w:w="968" w:type="dxa"/>
            <w:tcBorders>
              <w:top w:val="single" w:sz="8"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1.933</w:t>
            </w:r>
          </w:p>
        </w:tc>
      </w:tr>
      <w:tr w:rsidR="00F374B7" w:rsidRPr="00AF618C" w:rsidTr="008C589D">
        <w:trPr>
          <w:cantSplit/>
          <w:trHeight w:val="345"/>
          <w:jc w:val="center"/>
        </w:trPr>
        <w:tc>
          <w:tcPr>
            <w:tcW w:w="1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rPr>
                <w:rFonts w:ascii="Times New Roman" w:hAnsi="Times New Roman"/>
                <w:sz w:val="20"/>
              </w:rPr>
            </w:pPr>
            <w:r w:rsidRPr="008F6238">
              <w:rPr>
                <w:rFonts w:ascii="Times New Roman" w:hAnsi="Times New Roman"/>
                <w:sz w:val="20"/>
              </w:rPr>
              <w:t>Control R2</w:t>
            </w: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16</w:t>
            </w: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4</w:t>
            </w: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11</w:t>
            </w:r>
          </w:p>
        </w:tc>
        <w:tc>
          <w:tcPr>
            <w:tcW w:w="810" w:type="dxa"/>
            <w:tcBorders>
              <w:top w:val="single" w:sz="4"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15</w:t>
            </w:r>
          </w:p>
        </w:tc>
        <w:tc>
          <w:tcPr>
            <w:tcW w:w="810" w:type="dxa"/>
            <w:tcBorders>
              <w:top w:val="single" w:sz="4"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13.00</w:t>
            </w:r>
          </w:p>
        </w:tc>
        <w:tc>
          <w:tcPr>
            <w:tcW w:w="810" w:type="dxa"/>
            <w:tcBorders>
              <w:top w:val="single" w:sz="4"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1.033</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1.067</w:t>
            </w:r>
          </w:p>
        </w:tc>
      </w:tr>
      <w:tr w:rsidR="00F374B7" w:rsidRPr="00AF618C" w:rsidTr="008C589D">
        <w:trPr>
          <w:cantSplit/>
          <w:trHeight w:val="345"/>
          <w:jc w:val="center"/>
        </w:trPr>
        <w:tc>
          <w:tcPr>
            <w:tcW w:w="16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rPr>
                <w:rFonts w:ascii="Times New Roman" w:hAnsi="Times New Roman"/>
                <w:sz w:val="20"/>
              </w:rPr>
            </w:pPr>
            <w:r w:rsidRPr="008F6238">
              <w:rPr>
                <w:rFonts w:ascii="Times New Roman" w:hAnsi="Times New Roman"/>
                <w:sz w:val="20"/>
              </w:rPr>
              <w:t>Experimental R1</w:t>
            </w: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16</w:t>
            </w: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12</w:t>
            </w:r>
          </w:p>
        </w:tc>
        <w:tc>
          <w:tcPr>
            <w:tcW w:w="810" w:type="dxa"/>
            <w:tcBorders>
              <w:top w:val="single" w:sz="4"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15</w:t>
            </w:r>
          </w:p>
        </w:tc>
        <w:tc>
          <w:tcPr>
            <w:tcW w:w="810" w:type="dxa"/>
            <w:tcBorders>
              <w:top w:val="single" w:sz="4"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13.13</w:t>
            </w:r>
          </w:p>
        </w:tc>
        <w:tc>
          <w:tcPr>
            <w:tcW w:w="810" w:type="dxa"/>
            <w:tcBorders>
              <w:top w:val="single" w:sz="4"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1.147</w:t>
            </w:r>
          </w:p>
        </w:tc>
        <w:tc>
          <w:tcPr>
            <w:tcW w:w="968" w:type="dxa"/>
            <w:tcBorders>
              <w:top w:val="single" w:sz="4" w:space="0" w:color="auto"/>
              <w:left w:val="single" w:sz="4" w:space="0" w:color="auto"/>
              <w:bottom w:val="single" w:sz="4"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1.317</w:t>
            </w:r>
          </w:p>
        </w:tc>
      </w:tr>
      <w:tr w:rsidR="00F374B7" w:rsidRPr="00AF618C" w:rsidTr="008C589D">
        <w:trPr>
          <w:cantSplit/>
          <w:trHeight w:val="345"/>
          <w:jc w:val="center"/>
        </w:trPr>
        <w:tc>
          <w:tcPr>
            <w:tcW w:w="1681" w:type="dxa"/>
            <w:tcBorders>
              <w:top w:val="single" w:sz="4"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rPr>
                <w:rFonts w:ascii="Times New Roman" w:hAnsi="Times New Roman"/>
                <w:sz w:val="20"/>
              </w:rPr>
            </w:pPr>
            <w:r w:rsidRPr="008F6238">
              <w:rPr>
                <w:rFonts w:ascii="Times New Roman" w:hAnsi="Times New Roman"/>
                <w:sz w:val="20"/>
              </w:rPr>
              <w:t>Experimental R2</w:t>
            </w:r>
          </w:p>
        </w:tc>
        <w:tc>
          <w:tcPr>
            <w:tcW w:w="900" w:type="dxa"/>
            <w:tcBorders>
              <w:top w:val="single" w:sz="4" w:space="0" w:color="auto"/>
              <w:left w:val="single" w:sz="4" w:space="0" w:color="auto"/>
              <w:bottom w:val="single" w:sz="8"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16</w:t>
            </w:r>
          </w:p>
        </w:tc>
        <w:tc>
          <w:tcPr>
            <w:tcW w:w="900" w:type="dxa"/>
            <w:tcBorders>
              <w:top w:val="single" w:sz="4" w:space="0" w:color="auto"/>
              <w:left w:val="single" w:sz="4" w:space="0" w:color="auto"/>
              <w:bottom w:val="single" w:sz="8"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3</w:t>
            </w:r>
          </w:p>
        </w:tc>
        <w:tc>
          <w:tcPr>
            <w:tcW w:w="900" w:type="dxa"/>
            <w:tcBorders>
              <w:top w:val="single" w:sz="4" w:space="0" w:color="auto"/>
              <w:left w:val="single" w:sz="4" w:space="0" w:color="auto"/>
              <w:bottom w:val="single" w:sz="8"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12</w:t>
            </w:r>
          </w:p>
        </w:tc>
        <w:tc>
          <w:tcPr>
            <w:tcW w:w="810" w:type="dxa"/>
            <w:tcBorders>
              <w:top w:val="single" w:sz="4" w:space="0" w:color="auto"/>
              <w:left w:val="single" w:sz="4" w:space="0" w:color="auto"/>
              <w:bottom w:val="single" w:sz="8"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15</w:t>
            </w:r>
          </w:p>
        </w:tc>
        <w:tc>
          <w:tcPr>
            <w:tcW w:w="810" w:type="dxa"/>
            <w:tcBorders>
              <w:top w:val="single" w:sz="4" w:space="0" w:color="auto"/>
              <w:left w:val="single" w:sz="4" w:space="0" w:color="auto"/>
              <w:bottom w:val="single" w:sz="8"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13.13</w:t>
            </w:r>
          </w:p>
        </w:tc>
        <w:tc>
          <w:tcPr>
            <w:tcW w:w="810" w:type="dxa"/>
            <w:tcBorders>
              <w:top w:val="single" w:sz="4" w:space="0" w:color="auto"/>
              <w:left w:val="single" w:sz="4" w:space="0" w:color="auto"/>
              <w:bottom w:val="single" w:sz="8"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.957</w:t>
            </w:r>
          </w:p>
        </w:tc>
        <w:tc>
          <w:tcPr>
            <w:tcW w:w="968" w:type="dxa"/>
            <w:tcBorders>
              <w:top w:val="single" w:sz="4" w:space="0" w:color="auto"/>
              <w:left w:val="single" w:sz="4" w:space="0" w:color="auto"/>
              <w:bottom w:val="single" w:sz="8" w:space="0" w:color="auto"/>
              <w:right w:val="single" w:sz="4" w:space="0" w:color="auto"/>
            </w:tcBorders>
            <w:shd w:val="clear" w:color="auto" w:fill="FFFFFF"/>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.917</w:t>
            </w:r>
          </w:p>
        </w:tc>
      </w:tr>
    </w:tbl>
    <w:p w:rsidR="00F374B7" w:rsidRPr="0015606B" w:rsidRDefault="00F374B7" w:rsidP="00F374B7"/>
    <w:p w:rsidR="00F374B7" w:rsidRPr="0015606B" w:rsidRDefault="00F374B7" w:rsidP="00F374B7">
      <w:pPr>
        <w:pStyle w:val="Heading5"/>
      </w:pPr>
      <w:r w:rsidRPr="0015606B">
        <w:lastRenderedPageBreak/>
        <w:t>Table 2</w:t>
      </w:r>
    </w:p>
    <w:p w:rsidR="00F374B7" w:rsidRPr="0015606B" w:rsidRDefault="00F374B7" w:rsidP="00F374B7">
      <w:pPr>
        <w:pStyle w:val="Heading5"/>
      </w:pPr>
      <w:r w:rsidRPr="0015606B">
        <w:t>Descriptive statistics of two group's writing scores at posttest</w:t>
      </w:r>
    </w:p>
    <w:tbl>
      <w:tblPr>
        <w:tblW w:w="7800"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530"/>
        <w:gridCol w:w="810"/>
        <w:gridCol w:w="900"/>
        <w:gridCol w:w="900"/>
        <w:gridCol w:w="759"/>
        <w:gridCol w:w="938"/>
        <w:gridCol w:w="1003"/>
        <w:gridCol w:w="960"/>
      </w:tblGrid>
      <w:tr w:rsidR="00F374B7" w:rsidRPr="00AF618C" w:rsidTr="008C589D">
        <w:trPr>
          <w:cantSplit/>
          <w:trHeight w:val="250"/>
          <w:jc w:val="center"/>
        </w:trPr>
        <w:tc>
          <w:tcPr>
            <w:tcW w:w="1530"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jc w:val="center"/>
              <w:rPr>
                <w:rFonts w:ascii="Arial" w:hAnsi="Arial" w:cs="Arial"/>
                <w:b/>
                <w:sz w:val="18"/>
                <w:szCs w:val="18"/>
              </w:rPr>
            </w:pPr>
            <w:r w:rsidRPr="008F6238">
              <w:rPr>
                <w:rFonts w:ascii="Arial" w:hAnsi="Arial" w:cs="Arial"/>
                <w:b/>
                <w:sz w:val="18"/>
                <w:szCs w:val="18"/>
              </w:rPr>
              <w:t>Group</w:t>
            </w:r>
          </w:p>
        </w:tc>
        <w:tc>
          <w:tcPr>
            <w:tcW w:w="810"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Arial" w:hAnsi="Arial" w:cs="Arial"/>
                <w:b/>
                <w:sz w:val="18"/>
                <w:szCs w:val="18"/>
              </w:rPr>
            </w:pPr>
            <w:r w:rsidRPr="008F6238">
              <w:rPr>
                <w:rFonts w:ascii="Arial" w:hAnsi="Arial" w:cs="Arial"/>
                <w:b/>
                <w:sz w:val="18"/>
                <w:szCs w:val="18"/>
              </w:rPr>
              <w:t>N</w:t>
            </w:r>
          </w:p>
        </w:tc>
        <w:tc>
          <w:tcPr>
            <w:tcW w:w="900"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Arial" w:hAnsi="Arial" w:cs="Arial"/>
                <w:b/>
                <w:sz w:val="18"/>
                <w:szCs w:val="18"/>
              </w:rPr>
            </w:pPr>
            <w:r w:rsidRPr="008F6238">
              <w:rPr>
                <w:rFonts w:ascii="Arial" w:hAnsi="Arial" w:cs="Arial"/>
                <w:b/>
                <w:sz w:val="18"/>
                <w:szCs w:val="18"/>
              </w:rPr>
              <w:t>Range</w:t>
            </w:r>
          </w:p>
        </w:tc>
        <w:tc>
          <w:tcPr>
            <w:tcW w:w="900"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Arial" w:hAnsi="Arial" w:cs="Arial"/>
                <w:b/>
                <w:sz w:val="18"/>
                <w:szCs w:val="18"/>
              </w:rPr>
            </w:pPr>
            <w:r w:rsidRPr="008F6238">
              <w:rPr>
                <w:rFonts w:ascii="Arial" w:hAnsi="Arial" w:cs="Arial"/>
                <w:b/>
                <w:sz w:val="18"/>
                <w:szCs w:val="18"/>
              </w:rPr>
              <w:t>Min.</w:t>
            </w:r>
          </w:p>
        </w:tc>
        <w:tc>
          <w:tcPr>
            <w:tcW w:w="759"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Arial" w:hAnsi="Arial" w:cs="Arial"/>
                <w:b/>
                <w:sz w:val="18"/>
                <w:szCs w:val="18"/>
              </w:rPr>
            </w:pPr>
            <w:r w:rsidRPr="008F6238">
              <w:rPr>
                <w:rFonts w:ascii="Arial" w:hAnsi="Arial" w:cs="Arial"/>
                <w:b/>
                <w:sz w:val="18"/>
                <w:szCs w:val="18"/>
              </w:rPr>
              <w:t>Max.</w:t>
            </w:r>
          </w:p>
        </w:tc>
        <w:tc>
          <w:tcPr>
            <w:tcW w:w="938"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Arial" w:hAnsi="Arial" w:cs="Arial"/>
                <w:b/>
                <w:sz w:val="18"/>
                <w:szCs w:val="18"/>
              </w:rPr>
            </w:pPr>
            <w:r w:rsidRPr="008F6238">
              <w:rPr>
                <w:rFonts w:ascii="Arial" w:hAnsi="Arial" w:cs="Arial"/>
                <w:b/>
                <w:sz w:val="18"/>
                <w:szCs w:val="18"/>
              </w:rPr>
              <w:t>Mean</w:t>
            </w:r>
          </w:p>
        </w:tc>
        <w:tc>
          <w:tcPr>
            <w:tcW w:w="1003"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Arial" w:hAnsi="Arial" w:cs="Arial"/>
                <w:b/>
                <w:sz w:val="18"/>
                <w:szCs w:val="18"/>
              </w:rPr>
            </w:pPr>
            <w:r w:rsidRPr="008F6238">
              <w:rPr>
                <w:rFonts w:ascii="Arial" w:hAnsi="Arial" w:cs="Arial"/>
                <w:b/>
                <w:sz w:val="18"/>
                <w:szCs w:val="18"/>
              </w:rPr>
              <w:t>SD</w:t>
            </w:r>
          </w:p>
        </w:tc>
        <w:tc>
          <w:tcPr>
            <w:tcW w:w="960"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Arial" w:hAnsi="Arial" w:cs="Arial"/>
                <w:b/>
                <w:sz w:val="18"/>
                <w:szCs w:val="18"/>
              </w:rPr>
            </w:pPr>
            <w:r w:rsidRPr="008F6238">
              <w:rPr>
                <w:rFonts w:ascii="Arial" w:hAnsi="Arial" w:cs="Arial"/>
                <w:b/>
                <w:sz w:val="18"/>
                <w:szCs w:val="18"/>
              </w:rPr>
              <w:t>Variance</w:t>
            </w:r>
          </w:p>
        </w:tc>
      </w:tr>
      <w:tr w:rsidR="00F374B7" w:rsidRPr="00AF618C" w:rsidTr="008C589D">
        <w:trPr>
          <w:cantSplit/>
          <w:trHeight w:val="331"/>
          <w:jc w:val="center"/>
        </w:trPr>
        <w:tc>
          <w:tcPr>
            <w:tcW w:w="1530" w:type="dxa"/>
            <w:tcBorders>
              <w:top w:val="single" w:sz="8"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Control R1</w:t>
            </w:r>
          </w:p>
        </w:tc>
        <w:tc>
          <w:tcPr>
            <w:tcW w:w="810" w:type="dxa"/>
            <w:tcBorders>
              <w:top w:val="single" w:sz="8"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16</w:t>
            </w:r>
          </w:p>
        </w:tc>
        <w:tc>
          <w:tcPr>
            <w:tcW w:w="900" w:type="dxa"/>
            <w:tcBorders>
              <w:top w:val="single" w:sz="8"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4</w:t>
            </w:r>
          </w:p>
        </w:tc>
        <w:tc>
          <w:tcPr>
            <w:tcW w:w="900" w:type="dxa"/>
            <w:tcBorders>
              <w:top w:val="single" w:sz="8"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12</w:t>
            </w:r>
          </w:p>
        </w:tc>
        <w:tc>
          <w:tcPr>
            <w:tcW w:w="759" w:type="dxa"/>
            <w:tcBorders>
              <w:top w:val="single" w:sz="8"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16</w:t>
            </w:r>
          </w:p>
        </w:tc>
        <w:tc>
          <w:tcPr>
            <w:tcW w:w="938" w:type="dxa"/>
            <w:tcBorders>
              <w:top w:val="single" w:sz="8"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13.56</w:t>
            </w:r>
          </w:p>
        </w:tc>
        <w:tc>
          <w:tcPr>
            <w:tcW w:w="1003" w:type="dxa"/>
            <w:tcBorders>
              <w:top w:val="single" w:sz="8"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1.031</w:t>
            </w:r>
          </w:p>
        </w:tc>
        <w:tc>
          <w:tcPr>
            <w:tcW w:w="960" w:type="dxa"/>
            <w:tcBorders>
              <w:top w:val="single" w:sz="8"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1.063</w:t>
            </w:r>
          </w:p>
        </w:tc>
      </w:tr>
      <w:tr w:rsidR="00F374B7" w:rsidRPr="00AF618C" w:rsidTr="008C589D">
        <w:trPr>
          <w:cantSplit/>
          <w:trHeight w:val="310"/>
          <w:jc w:val="center"/>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Control R2</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4</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12</w:t>
            </w:r>
          </w:p>
        </w:tc>
        <w:tc>
          <w:tcPr>
            <w:tcW w:w="7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16</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13.81</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.981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.963</w:t>
            </w:r>
          </w:p>
        </w:tc>
      </w:tr>
      <w:tr w:rsidR="00F374B7" w:rsidRPr="00AF618C" w:rsidTr="008C589D">
        <w:trPr>
          <w:cantSplit/>
          <w:trHeight w:val="377"/>
          <w:jc w:val="center"/>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Experimental R1</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12</w:t>
            </w:r>
          </w:p>
        </w:tc>
        <w:tc>
          <w:tcPr>
            <w:tcW w:w="7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18</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14.81</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1.424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2.029</w:t>
            </w:r>
          </w:p>
        </w:tc>
      </w:tr>
      <w:tr w:rsidR="00F374B7" w:rsidRPr="00AF618C" w:rsidTr="008C589D">
        <w:trPr>
          <w:cantSplit/>
          <w:trHeight w:val="386"/>
          <w:jc w:val="center"/>
        </w:trPr>
        <w:tc>
          <w:tcPr>
            <w:tcW w:w="1530" w:type="dxa"/>
            <w:tcBorders>
              <w:top w:val="single" w:sz="4"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Experimental R2</w:t>
            </w:r>
          </w:p>
        </w:tc>
        <w:tc>
          <w:tcPr>
            <w:tcW w:w="810" w:type="dxa"/>
            <w:tcBorders>
              <w:top w:val="single" w:sz="4"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16</w:t>
            </w:r>
          </w:p>
        </w:tc>
        <w:tc>
          <w:tcPr>
            <w:tcW w:w="900" w:type="dxa"/>
            <w:tcBorders>
              <w:top w:val="single" w:sz="4"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4</w:t>
            </w:r>
          </w:p>
        </w:tc>
        <w:tc>
          <w:tcPr>
            <w:tcW w:w="900" w:type="dxa"/>
            <w:tcBorders>
              <w:top w:val="single" w:sz="4"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13</w:t>
            </w:r>
          </w:p>
        </w:tc>
        <w:tc>
          <w:tcPr>
            <w:tcW w:w="759" w:type="dxa"/>
            <w:tcBorders>
              <w:top w:val="single" w:sz="4"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17</w:t>
            </w:r>
          </w:p>
        </w:tc>
        <w:tc>
          <w:tcPr>
            <w:tcW w:w="938" w:type="dxa"/>
            <w:tcBorders>
              <w:top w:val="single" w:sz="4"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15.06</w:t>
            </w:r>
          </w:p>
        </w:tc>
        <w:tc>
          <w:tcPr>
            <w:tcW w:w="1003" w:type="dxa"/>
            <w:tcBorders>
              <w:top w:val="single" w:sz="4"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1.063</w:t>
            </w:r>
          </w:p>
        </w:tc>
        <w:tc>
          <w:tcPr>
            <w:tcW w:w="960" w:type="dxa"/>
            <w:tcBorders>
              <w:top w:val="single" w:sz="4"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before="120"/>
              <w:ind w:left="60" w:right="60"/>
              <w:jc w:val="center"/>
              <w:rPr>
                <w:rFonts w:ascii="Times New Roman" w:hAnsi="Times New Roman"/>
                <w:sz w:val="20"/>
              </w:rPr>
            </w:pPr>
            <w:r w:rsidRPr="008F6238">
              <w:rPr>
                <w:rFonts w:ascii="Times New Roman" w:hAnsi="Times New Roman"/>
                <w:sz w:val="20"/>
              </w:rPr>
              <w:t>1.129</w:t>
            </w:r>
          </w:p>
        </w:tc>
      </w:tr>
    </w:tbl>
    <w:p w:rsidR="00F374B7" w:rsidRPr="0015606B" w:rsidRDefault="00F374B7" w:rsidP="00F374B7">
      <w:r>
        <w:br/>
      </w:r>
      <w:r w:rsidRPr="0015606B">
        <w:t>Independent Samples Test was used to compare the mean writing score of two groups at both pretest and posttest. The results of Independent Sample Test at pretest are set forth in Table 3.</w:t>
      </w:r>
    </w:p>
    <w:p w:rsidR="00F374B7" w:rsidRPr="0015606B" w:rsidRDefault="00F374B7" w:rsidP="00F374B7">
      <w:r w:rsidRPr="0015606B">
        <w:t>Levene's Test in Table 3 reveal that the assumption of equal of variances was</w:t>
      </w:r>
      <w:r>
        <w:t xml:space="preserve"> </w:t>
      </w:r>
      <w:r w:rsidRPr="0015606B">
        <w:t>verified since the Sig., .60 was greater than .05.</w:t>
      </w:r>
    </w:p>
    <w:p w:rsidR="00F374B7" w:rsidRPr="0015606B" w:rsidRDefault="00F374B7" w:rsidP="00F374B7">
      <w:pPr>
        <w:pStyle w:val="Heading5"/>
      </w:pPr>
      <w:r w:rsidRPr="0015606B">
        <w:t>Table 3</w:t>
      </w:r>
    </w:p>
    <w:p w:rsidR="00F374B7" w:rsidRPr="0015606B" w:rsidRDefault="00F374B7" w:rsidP="00F374B7">
      <w:pPr>
        <w:pStyle w:val="Heading5"/>
      </w:pPr>
      <w:r w:rsidRPr="0015606B">
        <w:t xml:space="preserve">Independent </w:t>
      </w:r>
      <w:r>
        <w:t>s</w:t>
      </w:r>
      <w:r w:rsidRPr="0015606B">
        <w:t xml:space="preserve">amples </w:t>
      </w:r>
      <w:r>
        <w:t>t</w:t>
      </w:r>
      <w:r w:rsidRPr="0015606B">
        <w:t xml:space="preserve">est to </w:t>
      </w:r>
      <w:r>
        <w:t>c</w:t>
      </w:r>
      <w:r w:rsidRPr="0015606B">
        <w:t xml:space="preserve">ompare </w:t>
      </w:r>
      <w:r>
        <w:t>c</w:t>
      </w:r>
      <w:r w:rsidRPr="0015606B">
        <w:t xml:space="preserve">ontrol and experimental </w:t>
      </w:r>
      <w:r>
        <w:t>g</w:t>
      </w:r>
      <w:r w:rsidRPr="0015606B">
        <w:t xml:space="preserve">roups </w:t>
      </w:r>
      <w:r>
        <w:br/>
        <w:t>w</w:t>
      </w:r>
      <w:r w:rsidRPr="0015606B">
        <w:t xml:space="preserve">riting </w:t>
      </w:r>
      <w:r>
        <w:t>s</w:t>
      </w:r>
      <w:r w:rsidRPr="0015606B">
        <w:t xml:space="preserve">cores at </w:t>
      </w:r>
      <w:r>
        <w:t>p</w:t>
      </w:r>
      <w:r w:rsidRPr="0015606B">
        <w:t>retest</w:t>
      </w:r>
    </w:p>
    <w:tbl>
      <w:tblPr>
        <w:tblW w:w="7738" w:type="dxa"/>
        <w:jc w:val="center"/>
        <w:tblBorders>
          <w:top w:val="single" w:sz="8" w:space="0" w:color="auto"/>
          <w:bottom w:val="single" w:sz="8" w:space="0" w:color="auto"/>
        </w:tblBorders>
        <w:tblLayout w:type="fixed"/>
        <w:tblCellMar>
          <w:left w:w="30" w:type="dxa"/>
          <w:right w:w="30" w:type="dxa"/>
        </w:tblCellMar>
        <w:tblLook w:val="04A0" w:firstRow="1" w:lastRow="0" w:firstColumn="1" w:lastColumn="0" w:noHBand="0" w:noVBand="1"/>
      </w:tblPr>
      <w:tblGrid>
        <w:gridCol w:w="1722"/>
        <w:gridCol w:w="868"/>
        <w:gridCol w:w="878"/>
        <w:gridCol w:w="808"/>
        <w:gridCol w:w="740"/>
        <w:gridCol w:w="1551"/>
        <w:gridCol w:w="1171"/>
      </w:tblGrid>
      <w:tr w:rsidR="00F374B7" w:rsidRPr="008F6238" w:rsidTr="008C589D">
        <w:trPr>
          <w:cantSplit/>
          <w:trHeight w:val="8"/>
          <w:tblHeader/>
          <w:jc w:val="center"/>
        </w:trPr>
        <w:tc>
          <w:tcPr>
            <w:tcW w:w="3468" w:type="dxa"/>
            <w:gridSpan w:val="3"/>
            <w:tcBorders>
              <w:top w:val="single" w:sz="8" w:space="0" w:color="auto"/>
              <w:left w:val="single" w:sz="4" w:space="0" w:color="auto"/>
              <w:bottom w:val="single" w:sz="8" w:space="0" w:color="auto"/>
              <w:right w:val="single" w:sz="8" w:space="0" w:color="auto"/>
            </w:tcBorders>
            <w:shd w:val="clear" w:color="auto" w:fill="FFFFFF"/>
            <w:vAlign w:val="center"/>
            <w:hideMark/>
          </w:tcPr>
          <w:p w:rsidR="00F374B7" w:rsidRPr="008F6238" w:rsidRDefault="00F374B7" w:rsidP="008C589D">
            <w:pPr>
              <w:tabs>
                <w:tab w:val="left" w:pos="2419"/>
              </w:tabs>
              <w:spacing w:after="0"/>
              <w:jc w:val="center"/>
              <w:rPr>
                <w:rFonts w:ascii="Arial" w:hAnsi="Arial" w:cs="Arial"/>
                <w:b/>
                <w:sz w:val="18"/>
                <w:szCs w:val="18"/>
              </w:rPr>
            </w:pPr>
            <w:r w:rsidRPr="008F6238">
              <w:rPr>
                <w:rFonts w:ascii="Arial" w:hAnsi="Arial" w:cs="Arial"/>
                <w:b/>
                <w:sz w:val="18"/>
                <w:szCs w:val="18"/>
              </w:rPr>
              <w:t xml:space="preserve">Levene's </w:t>
            </w:r>
            <w:r>
              <w:rPr>
                <w:rFonts w:ascii="Arial" w:hAnsi="Arial" w:cs="Arial"/>
                <w:b/>
                <w:sz w:val="18"/>
                <w:szCs w:val="18"/>
              </w:rPr>
              <w:t>t</w:t>
            </w:r>
            <w:r w:rsidRPr="008F6238">
              <w:rPr>
                <w:rFonts w:ascii="Arial" w:hAnsi="Arial" w:cs="Arial"/>
                <w:b/>
                <w:sz w:val="18"/>
                <w:szCs w:val="18"/>
              </w:rPr>
              <w:t xml:space="preserve">est for </w:t>
            </w:r>
            <w:r>
              <w:rPr>
                <w:rFonts w:ascii="Arial" w:hAnsi="Arial" w:cs="Arial"/>
                <w:b/>
                <w:sz w:val="18"/>
                <w:szCs w:val="18"/>
              </w:rPr>
              <w:t>v</w:t>
            </w:r>
            <w:r w:rsidRPr="008F6238">
              <w:rPr>
                <w:rFonts w:ascii="Arial" w:hAnsi="Arial" w:cs="Arial"/>
                <w:b/>
                <w:sz w:val="18"/>
                <w:szCs w:val="18"/>
              </w:rPr>
              <w:t>ariances</w:t>
            </w:r>
          </w:p>
        </w:tc>
        <w:tc>
          <w:tcPr>
            <w:tcW w:w="4270" w:type="dxa"/>
            <w:gridSpan w:val="4"/>
            <w:tcBorders>
              <w:top w:val="single" w:sz="8" w:space="0" w:color="auto"/>
              <w:left w:val="single" w:sz="8"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8F6238" w:rsidRDefault="00F374B7" w:rsidP="008C589D">
            <w:pPr>
              <w:tabs>
                <w:tab w:val="left" w:pos="2419"/>
              </w:tabs>
              <w:spacing w:after="0"/>
              <w:ind w:firstLine="7"/>
              <w:jc w:val="center"/>
              <w:rPr>
                <w:rFonts w:ascii="Arial" w:hAnsi="Arial" w:cs="Arial"/>
                <w:b/>
                <w:sz w:val="18"/>
                <w:szCs w:val="18"/>
              </w:rPr>
            </w:pPr>
            <w:r w:rsidRPr="008F6238">
              <w:rPr>
                <w:rFonts w:ascii="Arial" w:hAnsi="Arial" w:cs="Arial"/>
                <w:b/>
                <w:sz w:val="18"/>
                <w:szCs w:val="18"/>
              </w:rPr>
              <w:t xml:space="preserve">T-test for </w:t>
            </w:r>
            <w:r>
              <w:rPr>
                <w:rFonts w:ascii="Arial" w:hAnsi="Arial" w:cs="Arial"/>
                <w:b/>
                <w:sz w:val="18"/>
                <w:szCs w:val="18"/>
              </w:rPr>
              <w:t>m</w:t>
            </w:r>
            <w:r w:rsidRPr="008F6238">
              <w:rPr>
                <w:rFonts w:ascii="Arial" w:hAnsi="Arial" w:cs="Arial"/>
                <w:b/>
                <w:sz w:val="18"/>
                <w:szCs w:val="18"/>
              </w:rPr>
              <w:t>eans</w:t>
            </w:r>
          </w:p>
        </w:tc>
      </w:tr>
      <w:tr w:rsidR="00F374B7" w:rsidRPr="008F6238" w:rsidTr="008C589D">
        <w:trPr>
          <w:cantSplit/>
          <w:trHeight w:val="25"/>
          <w:tblHeader/>
          <w:jc w:val="center"/>
        </w:trPr>
        <w:tc>
          <w:tcPr>
            <w:tcW w:w="1722" w:type="dxa"/>
            <w:tcBorders>
              <w:top w:val="single" w:sz="8" w:space="0" w:color="auto"/>
              <w:left w:val="single" w:sz="4" w:space="0" w:color="auto"/>
              <w:bottom w:val="single" w:sz="8" w:space="0" w:color="auto"/>
              <w:right w:val="single" w:sz="4" w:space="0" w:color="auto"/>
            </w:tcBorders>
            <w:shd w:val="clear" w:color="auto" w:fill="FFFFFF"/>
            <w:vAlign w:val="center"/>
          </w:tcPr>
          <w:p w:rsidR="00F374B7" w:rsidRPr="008F6238" w:rsidRDefault="00F374B7" w:rsidP="008C589D">
            <w:pPr>
              <w:spacing w:after="0"/>
              <w:jc w:val="center"/>
              <w:rPr>
                <w:rFonts w:ascii="Arial" w:hAnsi="Arial" w:cs="Arial"/>
                <w:b/>
                <w:sz w:val="18"/>
                <w:szCs w:val="18"/>
              </w:rPr>
            </w:pPr>
          </w:p>
        </w:tc>
        <w:tc>
          <w:tcPr>
            <w:tcW w:w="868"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spacing w:after="0"/>
              <w:jc w:val="center"/>
              <w:rPr>
                <w:rFonts w:ascii="Arial" w:hAnsi="Arial" w:cs="Arial"/>
                <w:b/>
                <w:sz w:val="18"/>
                <w:szCs w:val="18"/>
              </w:rPr>
            </w:pPr>
            <w:r w:rsidRPr="008F6238">
              <w:rPr>
                <w:rFonts w:ascii="Arial" w:hAnsi="Arial" w:cs="Arial"/>
                <w:b/>
                <w:sz w:val="18"/>
                <w:szCs w:val="18"/>
              </w:rPr>
              <w:t>F</w:t>
            </w:r>
          </w:p>
        </w:tc>
        <w:tc>
          <w:tcPr>
            <w:tcW w:w="877" w:type="dxa"/>
            <w:tcBorders>
              <w:top w:val="single" w:sz="8" w:space="0" w:color="auto"/>
              <w:left w:val="single" w:sz="4"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rsidR="00F374B7" w:rsidRPr="008F6238" w:rsidRDefault="00F374B7" w:rsidP="008C589D">
            <w:pPr>
              <w:spacing w:after="0"/>
              <w:jc w:val="center"/>
              <w:rPr>
                <w:rFonts w:ascii="Arial" w:hAnsi="Arial" w:cs="Arial"/>
                <w:b/>
                <w:sz w:val="18"/>
                <w:szCs w:val="18"/>
              </w:rPr>
            </w:pPr>
            <w:r w:rsidRPr="008F6238">
              <w:rPr>
                <w:rFonts w:ascii="Arial" w:hAnsi="Arial" w:cs="Arial"/>
                <w:b/>
                <w:sz w:val="18"/>
                <w:szCs w:val="18"/>
              </w:rPr>
              <w:t>Sig.</w:t>
            </w:r>
          </w:p>
        </w:tc>
        <w:tc>
          <w:tcPr>
            <w:tcW w:w="808" w:type="dxa"/>
            <w:tcBorders>
              <w:top w:val="single" w:sz="8" w:space="0" w:color="auto"/>
              <w:left w:val="single" w:sz="8"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8F6238" w:rsidRDefault="00F374B7" w:rsidP="008C589D">
            <w:pPr>
              <w:spacing w:after="0"/>
              <w:jc w:val="center"/>
              <w:rPr>
                <w:rFonts w:ascii="Arial" w:hAnsi="Arial" w:cs="Arial"/>
                <w:b/>
                <w:sz w:val="18"/>
                <w:szCs w:val="18"/>
              </w:rPr>
            </w:pPr>
            <w:r w:rsidRPr="008F6238">
              <w:rPr>
                <w:rFonts w:ascii="Arial" w:hAnsi="Arial" w:cs="Arial"/>
                <w:b/>
                <w:sz w:val="18"/>
                <w:szCs w:val="18"/>
              </w:rPr>
              <w:t>t</w:t>
            </w:r>
          </w:p>
        </w:tc>
        <w:tc>
          <w:tcPr>
            <w:tcW w:w="740" w:type="dxa"/>
            <w:tcBorders>
              <w:top w:val="single" w:sz="8" w:space="0" w:color="auto"/>
              <w:left w:val="single" w:sz="4"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8F6238" w:rsidRDefault="00F374B7" w:rsidP="008C589D">
            <w:pPr>
              <w:spacing w:after="0"/>
              <w:jc w:val="center"/>
              <w:rPr>
                <w:rFonts w:ascii="Arial" w:hAnsi="Arial" w:cs="Arial"/>
                <w:b/>
                <w:sz w:val="18"/>
                <w:szCs w:val="18"/>
                <w:rtl/>
              </w:rPr>
            </w:pPr>
            <w:r w:rsidRPr="008F6238">
              <w:rPr>
                <w:rFonts w:ascii="Arial" w:hAnsi="Arial" w:cs="Arial"/>
                <w:b/>
                <w:sz w:val="18"/>
                <w:szCs w:val="18"/>
              </w:rPr>
              <w:t>df</w:t>
            </w:r>
          </w:p>
        </w:tc>
        <w:tc>
          <w:tcPr>
            <w:tcW w:w="1551" w:type="dxa"/>
            <w:tcBorders>
              <w:top w:val="single" w:sz="8" w:space="0" w:color="auto"/>
              <w:left w:val="single" w:sz="4"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8F6238" w:rsidRDefault="00F374B7" w:rsidP="008C589D">
            <w:pPr>
              <w:spacing w:after="0"/>
              <w:jc w:val="center"/>
              <w:rPr>
                <w:rFonts w:ascii="Arial" w:hAnsi="Arial" w:cs="Arial"/>
                <w:b/>
                <w:sz w:val="18"/>
                <w:szCs w:val="18"/>
              </w:rPr>
            </w:pPr>
            <w:r w:rsidRPr="008F6238">
              <w:rPr>
                <w:rFonts w:ascii="Arial" w:hAnsi="Arial" w:cs="Arial"/>
                <w:b/>
                <w:sz w:val="18"/>
                <w:szCs w:val="18"/>
              </w:rPr>
              <w:t>Sig. (2-tailed)</w:t>
            </w:r>
          </w:p>
        </w:tc>
        <w:tc>
          <w:tcPr>
            <w:tcW w:w="1169" w:type="dxa"/>
            <w:tcBorders>
              <w:top w:val="single" w:sz="8" w:space="0" w:color="auto"/>
              <w:left w:val="single" w:sz="4"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8F6238" w:rsidRDefault="00F374B7" w:rsidP="008C589D">
            <w:pPr>
              <w:spacing w:after="0"/>
              <w:jc w:val="center"/>
              <w:rPr>
                <w:rFonts w:ascii="Arial" w:hAnsi="Arial" w:cs="Arial"/>
                <w:b/>
                <w:sz w:val="18"/>
                <w:szCs w:val="18"/>
              </w:rPr>
            </w:pPr>
            <w:r w:rsidRPr="008F6238">
              <w:rPr>
                <w:rFonts w:ascii="Arial" w:hAnsi="Arial" w:cs="Arial"/>
                <w:b/>
                <w:sz w:val="18"/>
                <w:szCs w:val="18"/>
              </w:rPr>
              <w:t>Mean Diff.</w:t>
            </w:r>
          </w:p>
        </w:tc>
      </w:tr>
      <w:tr w:rsidR="00F374B7" w:rsidRPr="008F6238" w:rsidTr="008C589D">
        <w:trPr>
          <w:cantSplit/>
          <w:trHeight w:val="242"/>
          <w:tblHeader/>
          <w:jc w:val="center"/>
        </w:trPr>
        <w:tc>
          <w:tcPr>
            <w:tcW w:w="1722"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after="0"/>
              <w:ind w:right="-192"/>
              <w:jc w:val="center"/>
              <w:rPr>
                <w:rFonts w:ascii="Times New Roman" w:hAnsi="Times New Roman"/>
                <w:sz w:val="20"/>
              </w:rPr>
            </w:pPr>
            <w:r w:rsidRPr="008F6238">
              <w:rPr>
                <w:rFonts w:ascii="Times New Roman" w:hAnsi="Times New Roman"/>
                <w:sz w:val="20"/>
              </w:rPr>
              <w:t>Equal variance assumed</w:t>
            </w:r>
          </w:p>
        </w:tc>
        <w:tc>
          <w:tcPr>
            <w:tcW w:w="868" w:type="dxa"/>
            <w:tcBorders>
              <w:top w:val="single" w:sz="8" w:space="0" w:color="auto"/>
              <w:left w:val="single" w:sz="4"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8F6238" w:rsidRDefault="00F374B7" w:rsidP="008C589D">
            <w:pPr>
              <w:autoSpaceDE w:val="0"/>
              <w:autoSpaceDN w:val="0"/>
              <w:adjustRightInd w:val="0"/>
              <w:spacing w:after="0" w:line="320" w:lineRule="atLeast"/>
              <w:ind w:left="60" w:right="60"/>
              <w:jc w:val="center"/>
              <w:rPr>
                <w:rFonts w:ascii="Times New Roman" w:hAnsi="Times New Roman"/>
                <w:sz w:val="20"/>
              </w:rPr>
            </w:pPr>
            <w:r w:rsidRPr="008F6238">
              <w:rPr>
                <w:rFonts w:ascii="Times New Roman" w:hAnsi="Times New Roman"/>
                <w:sz w:val="20"/>
              </w:rPr>
              <w:t>.272</w:t>
            </w:r>
          </w:p>
        </w:tc>
        <w:tc>
          <w:tcPr>
            <w:tcW w:w="877" w:type="dxa"/>
            <w:tcBorders>
              <w:top w:val="single" w:sz="8" w:space="0" w:color="auto"/>
              <w:left w:val="single" w:sz="4"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rsidR="00F374B7" w:rsidRPr="008F6238" w:rsidRDefault="00F374B7" w:rsidP="008C589D">
            <w:pPr>
              <w:autoSpaceDE w:val="0"/>
              <w:autoSpaceDN w:val="0"/>
              <w:adjustRightInd w:val="0"/>
              <w:spacing w:after="0" w:line="320" w:lineRule="atLeast"/>
              <w:ind w:left="60" w:right="60"/>
              <w:jc w:val="center"/>
              <w:rPr>
                <w:rFonts w:ascii="Times New Roman" w:hAnsi="Times New Roman"/>
                <w:sz w:val="20"/>
              </w:rPr>
            </w:pPr>
            <w:r w:rsidRPr="008F6238">
              <w:rPr>
                <w:rFonts w:ascii="Times New Roman" w:hAnsi="Times New Roman"/>
                <w:sz w:val="20"/>
              </w:rPr>
              <w:t>.606</w:t>
            </w:r>
          </w:p>
        </w:tc>
        <w:tc>
          <w:tcPr>
            <w:tcW w:w="808" w:type="dxa"/>
            <w:tcBorders>
              <w:top w:val="single" w:sz="8" w:space="0" w:color="auto"/>
              <w:left w:val="single" w:sz="8"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8F6238" w:rsidRDefault="00F374B7" w:rsidP="008C589D">
            <w:pPr>
              <w:autoSpaceDE w:val="0"/>
              <w:autoSpaceDN w:val="0"/>
              <w:adjustRightInd w:val="0"/>
              <w:spacing w:after="0" w:line="320" w:lineRule="atLeast"/>
              <w:ind w:left="60" w:right="60"/>
              <w:jc w:val="center"/>
              <w:rPr>
                <w:rFonts w:ascii="Times New Roman" w:hAnsi="Times New Roman"/>
                <w:sz w:val="20"/>
              </w:rPr>
            </w:pPr>
            <w:r w:rsidRPr="008F6238">
              <w:rPr>
                <w:rFonts w:ascii="Times New Roman" w:hAnsi="Times New Roman"/>
                <w:sz w:val="20"/>
              </w:rPr>
              <w:t>-.641</w:t>
            </w:r>
          </w:p>
        </w:tc>
        <w:tc>
          <w:tcPr>
            <w:tcW w:w="740" w:type="dxa"/>
            <w:tcBorders>
              <w:top w:val="single" w:sz="8" w:space="0" w:color="auto"/>
              <w:left w:val="single" w:sz="4"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8F6238" w:rsidRDefault="00F374B7" w:rsidP="008C589D">
            <w:pPr>
              <w:autoSpaceDE w:val="0"/>
              <w:autoSpaceDN w:val="0"/>
              <w:adjustRightInd w:val="0"/>
              <w:spacing w:after="0" w:line="320" w:lineRule="atLeast"/>
              <w:ind w:left="60" w:right="60"/>
              <w:jc w:val="center"/>
              <w:rPr>
                <w:rFonts w:ascii="Times New Roman" w:hAnsi="Times New Roman"/>
                <w:sz w:val="20"/>
              </w:rPr>
            </w:pPr>
            <w:r w:rsidRPr="008F6238">
              <w:rPr>
                <w:rFonts w:ascii="Times New Roman" w:hAnsi="Times New Roman"/>
                <w:sz w:val="20"/>
              </w:rPr>
              <w:t>30</w:t>
            </w:r>
          </w:p>
        </w:tc>
        <w:tc>
          <w:tcPr>
            <w:tcW w:w="1551" w:type="dxa"/>
            <w:tcBorders>
              <w:top w:val="single" w:sz="8" w:space="0" w:color="auto"/>
              <w:left w:val="single" w:sz="4"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8F6238" w:rsidRDefault="00F374B7" w:rsidP="008C589D">
            <w:pPr>
              <w:autoSpaceDE w:val="0"/>
              <w:autoSpaceDN w:val="0"/>
              <w:adjustRightInd w:val="0"/>
              <w:spacing w:after="0" w:line="320" w:lineRule="atLeast"/>
              <w:ind w:left="60" w:right="60"/>
              <w:jc w:val="center"/>
              <w:rPr>
                <w:rFonts w:ascii="Times New Roman" w:hAnsi="Times New Roman"/>
                <w:sz w:val="20"/>
              </w:rPr>
            </w:pPr>
            <w:r w:rsidRPr="008F6238">
              <w:rPr>
                <w:rFonts w:ascii="Times New Roman" w:hAnsi="Times New Roman"/>
                <w:sz w:val="20"/>
              </w:rPr>
              <w:t>.526</w:t>
            </w:r>
          </w:p>
        </w:tc>
        <w:tc>
          <w:tcPr>
            <w:tcW w:w="1169" w:type="dxa"/>
            <w:tcBorders>
              <w:top w:val="single" w:sz="8" w:space="0" w:color="auto"/>
              <w:left w:val="single" w:sz="4"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8F6238" w:rsidRDefault="00F374B7" w:rsidP="008C589D">
            <w:pPr>
              <w:autoSpaceDE w:val="0"/>
              <w:autoSpaceDN w:val="0"/>
              <w:adjustRightInd w:val="0"/>
              <w:spacing w:after="0" w:line="320" w:lineRule="atLeast"/>
              <w:ind w:left="60" w:right="60"/>
              <w:jc w:val="center"/>
              <w:rPr>
                <w:rFonts w:ascii="Times New Roman" w:hAnsi="Times New Roman"/>
                <w:sz w:val="20"/>
              </w:rPr>
            </w:pPr>
            <w:r w:rsidRPr="008F6238">
              <w:rPr>
                <w:rFonts w:ascii="Times New Roman" w:hAnsi="Times New Roman"/>
                <w:sz w:val="20"/>
              </w:rPr>
              <w:t>-.250</w:t>
            </w:r>
          </w:p>
        </w:tc>
      </w:tr>
    </w:tbl>
    <w:p w:rsidR="00F374B7" w:rsidRPr="0015606B" w:rsidRDefault="00F374B7" w:rsidP="00F374B7">
      <w:r>
        <w:rPr>
          <w:sz w:val="20"/>
        </w:rPr>
        <w:br/>
      </w:r>
      <w:r w:rsidRPr="0015606B">
        <w:t xml:space="preserve">Independent Samples Test (Table </w:t>
      </w:r>
      <w:r>
        <w:t>3</w:t>
      </w:r>
      <w:r w:rsidRPr="0015606B">
        <w:t>) indicated that there was no statistically significant difference in writing scores between the two groups at pretest with (t = .641, p = .52, p &gt; .05), in which the t-observed, .641 was lower than the t-critical, 2.02, and the p value, .52 was higher than .05.</w:t>
      </w:r>
    </w:p>
    <w:p w:rsidR="00F374B7" w:rsidRPr="0015606B" w:rsidRDefault="00F374B7" w:rsidP="00F374B7">
      <w:r w:rsidRPr="0015606B">
        <w:t xml:space="preserve">The results of Independent Sample Test to compare the writing mean score of the two groups at posttest are manifested in Table 4 </w:t>
      </w:r>
    </w:p>
    <w:p w:rsidR="00F374B7" w:rsidRPr="0015606B" w:rsidRDefault="00F374B7" w:rsidP="00F374B7">
      <w:r w:rsidRPr="0015606B">
        <w:t>Levene's Test in Table 4 shows that the assumption of equal of variances was proved because the Sig., .74 was more than .05.</w:t>
      </w:r>
    </w:p>
    <w:p w:rsidR="00F374B7" w:rsidRPr="0015606B" w:rsidRDefault="00F374B7" w:rsidP="00F374B7">
      <w:pPr>
        <w:pStyle w:val="Heading5"/>
      </w:pPr>
      <w:r w:rsidRPr="0015606B">
        <w:t>Table 4</w:t>
      </w:r>
    </w:p>
    <w:p w:rsidR="00F374B7" w:rsidRPr="0015606B" w:rsidRDefault="00F374B7" w:rsidP="00F374B7">
      <w:pPr>
        <w:pStyle w:val="Heading5"/>
      </w:pPr>
      <w:r w:rsidRPr="0015606B">
        <w:t>Independent samples test to compare control and</w:t>
      </w:r>
      <w:r>
        <w:t xml:space="preserve"> </w:t>
      </w:r>
      <w:r w:rsidRPr="0015606B">
        <w:t>experimental groups’</w:t>
      </w:r>
      <w:r>
        <w:t xml:space="preserve"> </w:t>
      </w:r>
      <w:r>
        <w:br/>
      </w:r>
      <w:r w:rsidRPr="0015606B">
        <w:t>writing scores at posttest</w:t>
      </w:r>
    </w:p>
    <w:tbl>
      <w:tblPr>
        <w:tblW w:w="7380" w:type="dxa"/>
        <w:tblInd w:w="1165" w:type="dxa"/>
        <w:tblBorders>
          <w:top w:val="single" w:sz="8" w:space="0" w:color="auto"/>
          <w:bottom w:val="single" w:sz="8" w:space="0" w:color="auto"/>
        </w:tblBorders>
        <w:tblLayout w:type="fixed"/>
        <w:tblCellMar>
          <w:left w:w="30" w:type="dxa"/>
          <w:right w:w="30" w:type="dxa"/>
        </w:tblCellMar>
        <w:tblLook w:val="04A0" w:firstRow="1" w:lastRow="0" w:firstColumn="1" w:lastColumn="0" w:noHBand="0" w:noVBand="1"/>
      </w:tblPr>
      <w:tblGrid>
        <w:gridCol w:w="1260"/>
        <w:gridCol w:w="900"/>
        <w:gridCol w:w="1170"/>
        <w:gridCol w:w="810"/>
        <w:gridCol w:w="900"/>
        <w:gridCol w:w="1213"/>
        <w:gridCol w:w="1127"/>
      </w:tblGrid>
      <w:tr w:rsidR="00F374B7" w:rsidRPr="00AF618C" w:rsidTr="008C589D">
        <w:trPr>
          <w:cantSplit/>
          <w:trHeight w:val="14"/>
          <w:tblHeader/>
        </w:trPr>
        <w:tc>
          <w:tcPr>
            <w:tcW w:w="3330" w:type="dxa"/>
            <w:gridSpan w:val="3"/>
            <w:tcBorders>
              <w:top w:val="single" w:sz="8" w:space="0" w:color="auto"/>
              <w:left w:val="single" w:sz="4" w:space="0" w:color="auto"/>
              <w:bottom w:val="single" w:sz="8" w:space="0" w:color="auto"/>
              <w:right w:val="single" w:sz="8" w:space="0" w:color="auto"/>
            </w:tcBorders>
            <w:shd w:val="clear" w:color="auto" w:fill="FFFFFF"/>
            <w:vAlign w:val="center"/>
            <w:hideMark/>
          </w:tcPr>
          <w:p w:rsidR="00F374B7" w:rsidRPr="002E0269" w:rsidRDefault="00F374B7" w:rsidP="008C589D">
            <w:pPr>
              <w:tabs>
                <w:tab w:val="left" w:pos="2419"/>
              </w:tabs>
              <w:spacing w:after="0"/>
              <w:jc w:val="center"/>
              <w:rPr>
                <w:rFonts w:ascii="Arial" w:hAnsi="Arial" w:cs="Arial"/>
                <w:b/>
                <w:sz w:val="18"/>
                <w:szCs w:val="18"/>
              </w:rPr>
            </w:pPr>
            <w:r w:rsidRPr="002E0269">
              <w:rPr>
                <w:rFonts w:ascii="Arial" w:hAnsi="Arial" w:cs="Arial"/>
                <w:b/>
                <w:sz w:val="18"/>
                <w:szCs w:val="18"/>
              </w:rPr>
              <w:t>Levene's Test for Variances</w:t>
            </w:r>
          </w:p>
        </w:tc>
        <w:tc>
          <w:tcPr>
            <w:tcW w:w="4050" w:type="dxa"/>
            <w:gridSpan w:val="4"/>
            <w:tcBorders>
              <w:top w:val="single" w:sz="8" w:space="0" w:color="auto"/>
              <w:left w:val="single" w:sz="8"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2E0269" w:rsidRDefault="00F374B7" w:rsidP="008C589D">
            <w:pPr>
              <w:tabs>
                <w:tab w:val="left" w:pos="2419"/>
              </w:tabs>
              <w:spacing w:after="0"/>
              <w:ind w:firstLine="9"/>
              <w:jc w:val="center"/>
              <w:rPr>
                <w:rFonts w:ascii="Arial" w:hAnsi="Arial" w:cs="Arial"/>
                <w:b/>
                <w:sz w:val="18"/>
                <w:szCs w:val="18"/>
              </w:rPr>
            </w:pPr>
            <w:r w:rsidRPr="002E0269">
              <w:rPr>
                <w:rFonts w:ascii="Arial" w:hAnsi="Arial" w:cs="Arial"/>
                <w:b/>
                <w:sz w:val="18"/>
                <w:szCs w:val="18"/>
              </w:rPr>
              <w:t>T-test for Means</w:t>
            </w:r>
          </w:p>
        </w:tc>
      </w:tr>
      <w:tr w:rsidR="00F374B7" w:rsidRPr="00AF618C" w:rsidTr="008C589D">
        <w:trPr>
          <w:cantSplit/>
          <w:trHeight w:val="38"/>
          <w:tblHeader/>
        </w:trPr>
        <w:tc>
          <w:tcPr>
            <w:tcW w:w="1260" w:type="dxa"/>
            <w:tcBorders>
              <w:top w:val="single" w:sz="8" w:space="0" w:color="auto"/>
              <w:left w:val="single" w:sz="4" w:space="0" w:color="auto"/>
              <w:bottom w:val="single" w:sz="8" w:space="0" w:color="auto"/>
              <w:right w:val="single" w:sz="4" w:space="0" w:color="auto"/>
            </w:tcBorders>
            <w:shd w:val="clear" w:color="auto" w:fill="FFFFFF"/>
            <w:vAlign w:val="center"/>
          </w:tcPr>
          <w:p w:rsidR="00F374B7" w:rsidRPr="008F6238" w:rsidRDefault="00F374B7" w:rsidP="008C589D">
            <w:pPr>
              <w:spacing w:after="0"/>
              <w:jc w:val="center"/>
              <w:rPr>
                <w:rFonts w:ascii="Times New Roman" w:hAnsi="Times New Roman"/>
                <w:sz w:val="20"/>
              </w:rPr>
            </w:pPr>
          </w:p>
        </w:tc>
        <w:tc>
          <w:tcPr>
            <w:tcW w:w="900"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F374B7" w:rsidRPr="002E0269" w:rsidRDefault="00F374B7" w:rsidP="008C589D">
            <w:pPr>
              <w:spacing w:after="0"/>
              <w:jc w:val="center"/>
              <w:rPr>
                <w:rFonts w:ascii="Arial" w:hAnsi="Arial" w:cs="Arial"/>
                <w:b/>
                <w:sz w:val="18"/>
                <w:szCs w:val="18"/>
              </w:rPr>
            </w:pPr>
            <w:r w:rsidRPr="002E0269">
              <w:rPr>
                <w:rFonts w:ascii="Arial" w:hAnsi="Arial" w:cs="Arial"/>
                <w:b/>
                <w:sz w:val="18"/>
                <w:szCs w:val="18"/>
              </w:rPr>
              <w:t>F</w:t>
            </w:r>
          </w:p>
        </w:tc>
        <w:tc>
          <w:tcPr>
            <w:tcW w:w="1170" w:type="dxa"/>
            <w:tcBorders>
              <w:top w:val="single" w:sz="8" w:space="0" w:color="auto"/>
              <w:left w:val="single" w:sz="4"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rsidR="00F374B7" w:rsidRPr="002E0269" w:rsidRDefault="00F374B7" w:rsidP="008C589D">
            <w:pPr>
              <w:spacing w:after="0"/>
              <w:jc w:val="center"/>
              <w:rPr>
                <w:rFonts w:ascii="Arial" w:hAnsi="Arial" w:cs="Arial"/>
                <w:b/>
                <w:sz w:val="18"/>
                <w:szCs w:val="18"/>
              </w:rPr>
            </w:pPr>
            <w:r w:rsidRPr="002E0269">
              <w:rPr>
                <w:rFonts w:ascii="Arial" w:hAnsi="Arial" w:cs="Arial"/>
                <w:b/>
                <w:sz w:val="18"/>
                <w:szCs w:val="18"/>
              </w:rPr>
              <w:t>Sig.</w:t>
            </w:r>
          </w:p>
        </w:tc>
        <w:tc>
          <w:tcPr>
            <w:tcW w:w="810" w:type="dxa"/>
            <w:tcBorders>
              <w:top w:val="single" w:sz="8" w:space="0" w:color="auto"/>
              <w:left w:val="single" w:sz="8"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2E0269" w:rsidRDefault="00F374B7" w:rsidP="008C589D">
            <w:pPr>
              <w:spacing w:after="0"/>
              <w:jc w:val="center"/>
              <w:rPr>
                <w:rFonts w:ascii="Arial" w:hAnsi="Arial" w:cs="Arial"/>
                <w:b/>
                <w:sz w:val="18"/>
                <w:szCs w:val="18"/>
              </w:rPr>
            </w:pPr>
            <w:r w:rsidRPr="002E0269">
              <w:rPr>
                <w:rFonts w:ascii="Arial" w:hAnsi="Arial" w:cs="Arial"/>
                <w:b/>
                <w:sz w:val="18"/>
                <w:szCs w:val="18"/>
              </w:rPr>
              <w:t>t</w:t>
            </w:r>
          </w:p>
        </w:tc>
        <w:tc>
          <w:tcPr>
            <w:tcW w:w="900" w:type="dxa"/>
            <w:tcBorders>
              <w:top w:val="single" w:sz="8" w:space="0" w:color="auto"/>
              <w:left w:val="single" w:sz="4"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2E0269" w:rsidRDefault="00F374B7" w:rsidP="008C589D">
            <w:pPr>
              <w:spacing w:after="0"/>
              <w:jc w:val="center"/>
              <w:rPr>
                <w:rFonts w:ascii="Arial" w:hAnsi="Arial" w:cs="Arial"/>
                <w:b/>
                <w:sz w:val="18"/>
                <w:szCs w:val="18"/>
                <w:rtl/>
              </w:rPr>
            </w:pPr>
            <w:r w:rsidRPr="002E0269">
              <w:rPr>
                <w:rFonts w:ascii="Arial" w:hAnsi="Arial" w:cs="Arial"/>
                <w:b/>
                <w:sz w:val="18"/>
                <w:szCs w:val="18"/>
              </w:rPr>
              <w:t>df</w:t>
            </w:r>
          </w:p>
        </w:tc>
        <w:tc>
          <w:tcPr>
            <w:tcW w:w="1213" w:type="dxa"/>
            <w:tcBorders>
              <w:top w:val="single" w:sz="8" w:space="0" w:color="auto"/>
              <w:left w:val="single" w:sz="4"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2E0269" w:rsidRDefault="00F374B7" w:rsidP="008C589D">
            <w:pPr>
              <w:spacing w:after="0"/>
              <w:jc w:val="center"/>
              <w:rPr>
                <w:rFonts w:ascii="Arial" w:hAnsi="Arial" w:cs="Arial"/>
                <w:b/>
                <w:sz w:val="18"/>
                <w:szCs w:val="18"/>
              </w:rPr>
            </w:pPr>
            <w:r w:rsidRPr="002E0269">
              <w:rPr>
                <w:rFonts w:ascii="Arial" w:hAnsi="Arial" w:cs="Arial"/>
                <w:b/>
                <w:sz w:val="18"/>
                <w:szCs w:val="18"/>
              </w:rPr>
              <w:t>Sig. (2-tailed)</w:t>
            </w:r>
          </w:p>
        </w:tc>
        <w:tc>
          <w:tcPr>
            <w:tcW w:w="1127" w:type="dxa"/>
            <w:tcBorders>
              <w:top w:val="single" w:sz="8" w:space="0" w:color="auto"/>
              <w:left w:val="single" w:sz="4"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2E0269" w:rsidRDefault="00F374B7" w:rsidP="008C589D">
            <w:pPr>
              <w:spacing w:after="0"/>
              <w:jc w:val="center"/>
              <w:rPr>
                <w:rFonts w:ascii="Arial" w:hAnsi="Arial" w:cs="Arial"/>
                <w:b/>
                <w:sz w:val="18"/>
                <w:szCs w:val="18"/>
              </w:rPr>
            </w:pPr>
            <w:r w:rsidRPr="002E0269">
              <w:rPr>
                <w:rFonts w:ascii="Arial" w:hAnsi="Arial" w:cs="Arial"/>
                <w:b/>
                <w:sz w:val="18"/>
                <w:szCs w:val="18"/>
              </w:rPr>
              <w:t>Mean Diff.</w:t>
            </w:r>
          </w:p>
        </w:tc>
      </w:tr>
      <w:tr w:rsidR="00F374B7" w:rsidRPr="00AF618C" w:rsidTr="008C589D">
        <w:trPr>
          <w:cantSplit/>
          <w:trHeight w:val="347"/>
          <w:tblHeader/>
        </w:trPr>
        <w:tc>
          <w:tcPr>
            <w:tcW w:w="1260"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F374B7" w:rsidRPr="008F6238" w:rsidRDefault="00F374B7" w:rsidP="008C589D">
            <w:pPr>
              <w:autoSpaceDE w:val="0"/>
              <w:autoSpaceDN w:val="0"/>
              <w:adjustRightInd w:val="0"/>
              <w:spacing w:after="0"/>
              <w:jc w:val="center"/>
              <w:rPr>
                <w:rFonts w:ascii="Times New Roman" w:hAnsi="Times New Roman"/>
                <w:sz w:val="20"/>
              </w:rPr>
            </w:pPr>
            <w:r w:rsidRPr="008F6238">
              <w:rPr>
                <w:rFonts w:ascii="Times New Roman" w:hAnsi="Times New Roman"/>
                <w:sz w:val="20"/>
              </w:rPr>
              <w:t>Equal variance assumed</w:t>
            </w:r>
          </w:p>
        </w:tc>
        <w:tc>
          <w:tcPr>
            <w:tcW w:w="900" w:type="dxa"/>
            <w:tcBorders>
              <w:top w:val="single" w:sz="8" w:space="0" w:color="auto"/>
              <w:left w:val="single" w:sz="4"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8F6238" w:rsidRDefault="00F374B7" w:rsidP="008C589D">
            <w:pPr>
              <w:autoSpaceDE w:val="0"/>
              <w:autoSpaceDN w:val="0"/>
              <w:adjustRightInd w:val="0"/>
              <w:spacing w:after="0"/>
              <w:ind w:left="60" w:right="60"/>
              <w:jc w:val="center"/>
              <w:rPr>
                <w:rFonts w:ascii="Times New Roman" w:hAnsi="Times New Roman"/>
                <w:sz w:val="20"/>
              </w:rPr>
            </w:pPr>
            <w:r w:rsidRPr="008F6238">
              <w:rPr>
                <w:rFonts w:ascii="Times New Roman" w:hAnsi="Times New Roman"/>
                <w:sz w:val="20"/>
              </w:rPr>
              <w:t>.106</w:t>
            </w:r>
          </w:p>
        </w:tc>
        <w:tc>
          <w:tcPr>
            <w:tcW w:w="1170" w:type="dxa"/>
            <w:tcBorders>
              <w:top w:val="single" w:sz="8" w:space="0" w:color="auto"/>
              <w:left w:val="single" w:sz="4"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rsidR="00F374B7" w:rsidRPr="008F6238" w:rsidRDefault="00F374B7" w:rsidP="008C589D">
            <w:pPr>
              <w:autoSpaceDE w:val="0"/>
              <w:autoSpaceDN w:val="0"/>
              <w:adjustRightInd w:val="0"/>
              <w:spacing w:after="0"/>
              <w:ind w:left="60" w:right="60"/>
              <w:jc w:val="center"/>
              <w:rPr>
                <w:rFonts w:ascii="Times New Roman" w:hAnsi="Times New Roman"/>
                <w:sz w:val="20"/>
              </w:rPr>
            </w:pPr>
            <w:r w:rsidRPr="008F6238">
              <w:rPr>
                <w:rFonts w:ascii="Times New Roman" w:hAnsi="Times New Roman"/>
                <w:sz w:val="20"/>
              </w:rPr>
              <w:t>.747</w:t>
            </w:r>
          </w:p>
        </w:tc>
        <w:tc>
          <w:tcPr>
            <w:tcW w:w="810" w:type="dxa"/>
            <w:tcBorders>
              <w:top w:val="single" w:sz="8" w:space="0" w:color="auto"/>
              <w:left w:val="single" w:sz="8"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8F6238" w:rsidRDefault="00F374B7" w:rsidP="008C589D">
            <w:pPr>
              <w:autoSpaceDE w:val="0"/>
              <w:autoSpaceDN w:val="0"/>
              <w:adjustRightInd w:val="0"/>
              <w:spacing w:after="0"/>
              <w:ind w:left="60" w:right="60"/>
              <w:jc w:val="center"/>
              <w:rPr>
                <w:rFonts w:ascii="Times New Roman" w:hAnsi="Times New Roman"/>
                <w:sz w:val="20"/>
              </w:rPr>
            </w:pPr>
            <w:r w:rsidRPr="008F6238">
              <w:rPr>
                <w:rFonts w:ascii="Times New Roman" w:hAnsi="Times New Roman"/>
                <w:sz w:val="20"/>
              </w:rPr>
              <w:t>-3.189</w:t>
            </w:r>
          </w:p>
        </w:tc>
        <w:tc>
          <w:tcPr>
            <w:tcW w:w="900" w:type="dxa"/>
            <w:tcBorders>
              <w:top w:val="single" w:sz="8" w:space="0" w:color="auto"/>
              <w:left w:val="single" w:sz="4"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8F6238" w:rsidRDefault="00F374B7" w:rsidP="008C589D">
            <w:pPr>
              <w:autoSpaceDE w:val="0"/>
              <w:autoSpaceDN w:val="0"/>
              <w:adjustRightInd w:val="0"/>
              <w:spacing w:after="0"/>
              <w:ind w:left="60" w:right="60"/>
              <w:jc w:val="center"/>
              <w:rPr>
                <w:rFonts w:ascii="Times New Roman" w:hAnsi="Times New Roman"/>
                <w:sz w:val="20"/>
              </w:rPr>
            </w:pPr>
            <w:r w:rsidRPr="008F6238">
              <w:rPr>
                <w:rFonts w:ascii="Times New Roman" w:hAnsi="Times New Roman"/>
                <w:sz w:val="20"/>
              </w:rPr>
              <w:t>30</w:t>
            </w:r>
          </w:p>
        </w:tc>
        <w:tc>
          <w:tcPr>
            <w:tcW w:w="1213" w:type="dxa"/>
            <w:tcBorders>
              <w:top w:val="single" w:sz="8" w:space="0" w:color="auto"/>
              <w:left w:val="single" w:sz="4"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8F6238" w:rsidRDefault="00F374B7" w:rsidP="008C589D">
            <w:pPr>
              <w:autoSpaceDE w:val="0"/>
              <w:autoSpaceDN w:val="0"/>
              <w:adjustRightInd w:val="0"/>
              <w:spacing w:after="0"/>
              <w:ind w:left="60" w:right="60"/>
              <w:jc w:val="center"/>
              <w:rPr>
                <w:rFonts w:ascii="Times New Roman" w:hAnsi="Times New Roman"/>
                <w:sz w:val="20"/>
              </w:rPr>
            </w:pPr>
            <w:r w:rsidRPr="008F6238">
              <w:rPr>
                <w:rFonts w:ascii="Times New Roman" w:hAnsi="Times New Roman"/>
                <w:sz w:val="20"/>
              </w:rPr>
              <w:t>.003</w:t>
            </w:r>
          </w:p>
        </w:tc>
        <w:tc>
          <w:tcPr>
            <w:tcW w:w="1127" w:type="dxa"/>
            <w:tcBorders>
              <w:top w:val="single" w:sz="8" w:space="0" w:color="auto"/>
              <w:left w:val="single" w:sz="4" w:space="0" w:color="auto"/>
              <w:bottom w:val="single" w:sz="8" w:space="0" w:color="auto"/>
              <w:right w:val="single" w:sz="4" w:space="0" w:color="auto"/>
            </w:tcBorders>
            <w:shd w:val="clear" w:color="auto" w:fill="FFFFFF"/>
            <w:tcMar>
              <w:top w:w="30" w:type="dxa"/>
              <w:left w:w="30" w:type="dxa"/>
              <w:bottom w:w="30" w:type="dxa"/>
              <w:right w:w="30" w:type="dxa"/>
            </w:tcMar>
            <w:vAlign w:val="center"/>
            <w:hideMark/>
          </w:tcPr>
          <w:p w:rsidR="00F374B7" w:rsidRPr="002E0269" w:rsidRDefault="00F374B7" w:rsidP="008C589D">
            <w:pPr>
              <w:autoSpaceDE w:val="0"/>
              <w:autoSpaceDN w:val="0"/>
              <w:adjustRightInd w:val="0"/>
              <w:spacing w:after="0"/>
              <w:ind w:left="60" w:right="60"/>
              <w:jc w:val="center"/>
              <w:rPr>
                <w:rFonts w:ascii="Times New Roman" w:hAnsi="Times New Roman"/>
                <w:sz w:val="20"/>
              </w:rPr>
            </w:pPr>
            <w:r w:rsidRPr="002E0269">
              <w:rPr>
                <w:rFonts w:ascii="Times New Roman" w:hAnsi="Times New Roman"/>
                <w:sz w:val="20"/>
              </w:rPr>
              <w:t>-1.250</w:t>
            </w:r>
          </w:p>
        </w:tc>
      </w:tr>
    </w:tbl>
    <w:p w:rsidR="00F374B7" w:rsidRPr="0015606B" w:rsidRDefault="00F374B7" w:rsidP="00F374B7">
      <w:r>
        <w:br/>
      </w:r>
      <w:r w:rsidRPr="0015606B">
        <w:t xml:space="preserve">Independent Samples Test results in Table 4 indicate that there was a statistically significant difference in writing scores between the two control and experimental groups with (t = 3.18, </w:t>
      </w:r>
      <w:r>
        <w:br/>
      </w:r>
      <w:r w:rsidRPr="0015606B">
        <w:t xml:space="preserve">p = .003, p &lt; .05), in which the t-observed, 3.18 was greater than the t-critical, 2.02, and the </w:t>
      </w:r>
      <w:r>
        <w:br/>
      </w:r>
      <w:r w:rsidRPr="0015606B">
        <w:t xml:space="preserve">p value, .003 was less than .05; Consequently, it can be claimed that here is a statistically significant difference between writing skill of Intermediate Iranian EFL learners who were taught </w:t>
      </w:r>
      <w:r w:rsidRPr="0015606B">
        <w:lastRenderedPageBreak/>
        <w:t>by teachers with control and experimental groups. In fact, the students in the experimental group exceeded those in control group with the mean difference (gained score) of 1.25.</w:t>
      </w:r>
    </w:p>
    <w:p w:rsidR="00F374B7" w:rsidRPr="0015606B" w:rsidRDefault="00F374B7" w:rsidP="00F374B7">
      <w:r w:rsidRPr="0015606B">
        <w:t xml:space="preserve">In order to analyze the data to test the second question, the normal curve of the perception scores and their frequency of the participants obtained on Webquest perception </w:t>
      </w:r>
      <w:r>
        <w:t>q</w:t>
      </w:r>
      <w:r w:rsidRPr="0015606B">
        <w:t>uestionnaire are displayed in Figure 1 below.</w:t>
      </w:r>
    </w:p>
    <w:p w:rsidR="00F374B7" w:rsidRPr="0015606B" w:rsidRDefault="00F374B7" w:rsidP="00F374B7">
      <w:pPr>
        <w:jc w:val="center"/>
      </w:pPr>
      <w:r w:rsidRPr="00AF618C">
        <w:rPr>
          <w:rFonts w:ascii="Times New Roman" w:hAnsi="Times New Roman"/>
          <w:noProof/>
          <w:sz w:val="24"/>
          <w:szCs w:val="24"/>
        </w:rPr>
        <w:drawing>
          <wp:inline distT="0" distB="0" distL="0" distR="0" wp14:anchorId="422859CC" wp14:editId="2109C838">
            <wp:extent cx="4106792" cy="2699657"/>
            <wp:effectExtent l="0" t="0" r="825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3562" cy="2730402"/>
                    </a:xfrm>
                    <a:prstGeom prst="rect">
                      <a:avLst/>
                    </a:prstGeom>
                    <a:noFill/>
                    <a:ln>
                      <a:noFill/>
                    </a:ln>
                  </pic:spPr>
                </pic:pic>
              </a:graphicData>
            </a:graphic>
          </wp:inline>
        </w:drawing>
      </w:r>
    </w:p>
    <w:p w:rsidR="00F374B7" w:rsidRPr="0015606B" w:rsidRDefault="00F374B7" w:rsidP="00F374B7">
      <w:pPr>
        <w:pStyle w:val="Heading5"/>
      </w:pPr>
      <w:r w:rsidRPr="0015606B">
        <w:t xml:space="preserve">Figure 1 Participants’ perception scores of web quest writing instruction </w:t>
      </w:r>
    </w:p>
    <w:p w:rsidR="00F374B7" w:rsidRPr="0015606B" w:rsidRDefault="00F374B7" w:rsidP="00F374B7">
      <w:pPr>
        <w:spacing w:before="0" w:after="0"/>
      </w:pPr>
      <w:r>
        <w:br/>
      </w:r>
      <w:r w:rsidRPr="0015606B">
        <w:t>Nonparametric One-Sample Wilcoxon Signed Rank Test was used to test the second question of the present study. Table 5 present the results of this analysis.</w:t>
      </w:r>
    </w:p>
    <w:p w:rsidR="00F374B7" w:rsidRDefault="00F374B7" w:rsidP="00F374B7">
      <w:pPr>
        <w:pStyle w:val="Heading5"/>
      </w:pPr>
      <w:r w:rsidRPr="0015606B">
        <w:t>Table 5</w:t>
      </w:r>
    </w:p>
    <w:p w:rsidR="00F374B7" w:rsidRPr="0015606B" w:rsidRDefault="00F374B7" w:rsidP="00F374B7">
      <w:pPr>
        <w:pStyle w:val="Heading5"/>
      </w:pPr>
      <w:r w:rsidRPr="0015606B">
        <w:t>Nonparametric One-Sample Wilcoxon Signed Rank Test</w:t>
      </w:r>
    </w:p>
    <w:tbl>
      <w:tblPr>
        <w:tblW w:w="8079" w:type="dxa"/>
        <w:jc w:val="center"/>
        <w:tblBorders>
          <w:bottom w:val="single" w:sz="4" w:space="0" w:color="auto"/>
        </w:tblBorders>
        <w:tblLook w:val="04A0" w:firstRow="1" w:lastRow="0" w:firstColumn="1" w:lastColumn="0" w:noHBand="0" w:noVBand="1"/>
      </w:tblPr>
      <w:tblGrid>
        <w:gridCol w:w="3928"/>
        <w:gridCol w:w="2400"/>
        <w:gridCol w:w="1751"/>
      </w:tblGrid>
      <w:tr w:rsidR="00F374B7" w:rsidRPr="00AF618C" w:rsidTr="008C589D">
        <w:trPr>
          <w:trHeight w:val="305"/>
          <w:jc w:val="center"/>
        </w:trPr>
        <w:tc>
          <w:tcPr>
            <w:tcW w:w="3928" w:type="dxa"/>
            <w:tcBorders>
              <w:top w:val="single" w:sz="4" w:space="0" w:color="auto"/>
              <w:left w:val="single" w:sz="4" w:space="0" w:color="auto"/>
              <w:bottom w:val="single" w:sz="4" w:space="0" w:color="auto"/>
              <w:right w:val="single" w:sz="4" w:space="0" w:color="auto"/>
            </w:tcBorders>
            <w:vAlign w:val="center"/>
            <w:hideMark/>
          </w:tcPr>
          <w:p w:rsidR="00F374B7" w:rsidRPr="002E0269" w:rsidRDefault="00F374B7" w:rsidP="008C589D">
            <w:pPr>
              <w:spacing w:before="120"/>
              <w:jc w:val="center"/>
              <w:rPr>
                <w:rFonts w:ascii="Arial" w:hAnsi="Arial" w:cs="Arial"/>
                <w:b/>
                <w:sz w:val="18"/>
                <w:szCs w:val="18"/>
              </w:rPr>
            </w:pPr>
            <w:r w:rsidRPr="002E0269">
              <w:rPr>
                <w:rFonts w:ascii="Arial" w:hAnsi="Arial" w:cs="Arial"/>
                <w:b/>
                <w:sz w:val="18"/>
                <w:szCs w:val="18"/>
              </w:rPr>
              <w:t>Null Hypothesis</w:t>
            </w:r>
          </w:p>
        </w:tc>
        <w:tc>
          <w:tcPr>
            <w:tcW w:w="2400" w:type="dxa"/>
            <w:tcBorders>
              <w:top w:val="single" w:sz="4" w:space="0" w:color="auto"/>
              <w:left w:val="single" w:sz="4" w:space="0" w:color="auto"/>
              <w:bottom w:val="single" w:sz="4" w:space="0" w:color="auto"/>
              <w:right w:val="single" w:sz="4" w:space="0" w:color="auto"/>
            </w:tcBorders>
            <w:vAlign w:val="center"/>
            <w:hideMark/>
          </w:tcPr>
          <w:p w:rsidR="00F374B7" w:rsidRPr="002E0269" w:rsidRDefault="00F374B7" w:rsidP="008C589D">
            <w:pPr>
              <w:spacing w:before="120"/>
              <w:jc w:val="center"/>
              <w:rPr>
                <w:rFonts w:ascii="Arial" w:hAnsi="Arial" w:cs="Arial"/>
                <w:b/>
                <w:sz w:val="18"/>
                <w:szCs w:val="18"/>
              </w:rPr>
            </w:pPr>
            <w:r w:rsidRPr="002E0269">
              <w:rPr>
                <w:rFonts w:ascii="Arial" w:hAnsi="Arial" w:cs="Arial"/>
                <w:b/>
                <w:sz w:val="18"/>
                <w:szCs w:val="18"/>
              </w:rPr>
              <w:t>Test</w:t>
            </w:r>
          </w:p>
        </w:tc>
        <w:tc>
          <w:tcPr>
            <w:tcW w:w="1751" w:type="dxa"/>
            <w:tcBorders>
              <w:top w:val="single" w:sz="4" w:space="0" w:color="auto"/>
              <w:left w:val="single" w:sz="4" w:space="0" w:color="auto"/>
              <w:bottom w:val="single" w:sz="4" w:space="0" w:color="auto"/>
              <w:right w:val="single" w:sz="4" w:space="0" w:color="auto"/>
            </w:tcBorders>
            <w:vAlign w:val="center"/>
            <w:hideMark/>
          </w:tcPr>
          <w:p w:rsidR="00F374B7" w:rsidRPr="002E0269" w:rsidRDefault="00F374B7" w:rsidP="008C589D">
            <w:pPr>
              <w:spacing w:before="120"/>
              <w:jc w:val="center"/>
              <w:rPr>
                <w:rFonts w:ascii="Arial" w:hAnsi="Arial" w:cs="Arial"/>
                <w:b/>
                <w:sz w:val="18"/>
                <w:szCs w:val="18"/>
              </w:rPr>
            </w:pPr>
            <w:r w:rsidRPr="002E0269">
              <w:rPr>
                <w:rFonts w:ascii="Arial" w:hAnsi="Arial" w:cs="Arial"/>
                <w:b/>
                <w:sz w:val="18"/>
                <w:szCs w:val="18"/>
              </w:rPr>
              <w:t>Sig. (2-tailed)</w:t>
            </w:r>
          </w:p>
        </w:tc>
      </w:tr>
      <w:tr w:rsidR="00F374B7" w:rsidRPr="00AF618C" w:rsidTr="008C589D">
        <w:trPr>
          <w:trHeight w:val="530"/>
          <w:jc w:val="center"/>
        </w:trPr>
        <w:tc>
          <w:tcPr>
            <w:tcW w:w="3928" w:type="dxa"/>
            <w:tcBorders>
              <w:top w:val="single" w:sz="4" w:space="0" w:color="auto"/>
              <w:left w:val="single" w:sz="4" w:space="0" w:color="auto"/>
              <w:bottom w:val="single" w:sz="4" w:space="0" w:color="auto"/>
              <w:right w:val="single" w:sz="4" w:space="0" w:color="auto"/>
            </w:tcBorders>
            <w:vAlign w:val="center"/>
            <w:hideMark/>
          </w:tcPr>
          <w:p w:rsidR="00F374B7" w:rsidRPr="008F6238" w:rsidRDefault="00F374B7" w:rsidP="008C589D">
            <w:pPr>
              <w:spacing w:before="120"/>
              <w:rPr>
                <w:rFonts w:ascii="Times New Roman" w:hAnsi="Times New Roman"/>
                <w:sz w:val="20"/>
              </w:rPr>
            </w:pPr>
            <w:r w:rsidRPr="008F6238">
              <w:rPr>
                <w:rFonts w:ascii="Times New Roman" w:hAnsi="Times New Roman"/>
                <w:sz w:val="20"/>
              </w:rPr>
              <w:t>1. The median of Perception equals 2.500</w:t>
            </w:r>
          </w:p>
        </w:tc>
        <w:tc>
          <w:tcPr>
            <w:tcW w:w="2400" w:type="dxa"/>
            <w:tcBorders>
              <w:top w:val="single" w:sz="4" w:space="0" w:color="auto"/>
              <w:left w:val="single" w:sz="4" w:space="0" w:color="auto"/>
              <w:bottom w:val="single" w:sz="4" w:space="0" w:color="auto"/>
              <w:right w:val="single" w:sz="4" w:space="0" w:color="auto"/>
            </w:tcBorders>
            <w:vAlign w:val="center"/>
            <w:hideMark/>
          </w:tcPr>
          <w:p w:rsidR="00F374B7" w:rsidRPr="008F6238" w:rsidRDefault="00F374B7" w:rsidP="008C589D">
            <w:pPr>
              <w:spacing w:before="120"/>
              <w:jc w:val="center"/>
              <w:rPr>
                <w:rFonts w:ascii="Times New Roman" w:hAnsi="Times New Roman"/>
                <w:sz w:val="20"/>
              </w:rPr>
            </w:pPr>
            <w:r w:rsidRPr="008F6238">
              <w:rPr>
                <w:rFonts w:ascii="Times New Roman" w:hAnsi="Times New Roman"/>
                <w:sz w:val="20"/>
              </w:rPr>
              <w:t>One-Sample Wilcoxon Signed Rank Test</w:t>
            </w:r>
          </w:p>
        </w:tc>
        <w:tc>
          <w:tcPr>
            <w:tcW w:w="1751" w:type="dxa"/>
            <w:tcBorders>
              <w:top w:val="single" w:sz="4" w:space="0" w:color="auto"/>
              <w:left w:val="single" w:sz="4" w:space="0" w:color="auto"/>
              <w:bottom w:val="single" w:sz="4" w:space="0" w:color="auto"/>
              <w:right w:val="single" w:sz="4" w:space="0" w:color="auto"/>
            </w:tcBorders>
            <w:vAlign w:val="center"/>
            <w:hideMark/>
          </w:tcPr>
          <w:p w:rsidR="00F374B7" w:rsidRPr="008F6238" w:rsidRDefault="00F374B7" w:rsidP="008C589D">
            <w:pPr>
              <w:spacing w:before="120"/>
              <w:jc w:val="center"/>
              <w:rPr>
                <w:rFonts w:ascii="Times New Roman" w:hAnsi="Times New Roman"/>
                <w:sz w:val="20"/>
              </w:rPr>
            </w:pPr>
            <w:r w:rsidRPr="008F6238">
              <w:rPr>
                <w:rFonts w:ascii="Times New Roman" w:hAnsi="Times New Roman"/>
                <w:sz w:val="20"/>
              </w:rPr>
              <w:t>.001</w:t>
            </w:r>
          </w:p>
        </w:tc>
      </w:tr>
    </w:tbl>
    <w:p w:rsidR="00F374B7" w:rsidRPr="002E0269" w:rsidRDefault="00F374B7" w:rsidP="00F374B7">
      <w:pPr>
        <w:ind w:left="720" w:firstLine="720"/>
        <w:rPr>
          <w:sz w:val="18"/>
          <w:szCs w:val="18"/>
        </w:rPr>
      </w:pPr>
      <w:r w:rsidRPr="002E0269">
        <w:rPr>
          <w:sz w:val="18"/>
          <w:szCs w:val="18"/>
        </w:rPr>
        <w:t>Asymtotic significances are displayed. The significance level is .05</w:t>
      </w:r>
    </w:p>
    <w:p w:rsidR="00F374B7" w:rsidRPr="0015606B" w:rsidRDefault="00F374B7" w:rsidP="00F374B7">
      <w:r w:rsidRPr="0015606B">
        <w:t>One-Sample Wilcoxon Signed Rank Test results revealed the p value of .000 which is less than the selected significant level in this study, .05 (p = .001, p &lt; .05): and we can claim that Iranian intermediate EFL learners have positive perception of the</w:t>
      </w:r>
      <w:r>
        <w:t xml:space="preserve"> Webquest</w:t>
      </w:r>
      <w:r w:rsidRPr="0015606B">
        <w:t xml:space="preserve"> writing instruction program.</w:t>
      </w:r>
    </w:p>
    <w:p w:rsidR="00F374B7" w:rsidRPr="0015606B" w:rsidRDefault="00F374B7" w:rsidP="00F374B7">
      <w:pPr>
        <w:pStyle w:val="Heading3"/>
      </w:pPr>
      <w:r w:rsidRPr="0015606B">
        <w:t>Conclusion</w:t>
      </w:r>
    </w:p>
    <w:p w:rsidR="00F374B7" w:rsidRPr="0015606B" w:rsidRDefault="00F374B7" w:rsidP="00F374B7">
      <w:r w:rsidRPr="0015606B">
        <w:t>The current study was conducted to investigate the effect of</w:t>
      </w:r>
      <w:r>
        <w:t xml:space="preserve"> Webquest</w:t>
      </w:r>
      <w:r w:rsidRPr="0015606B">
        <w:t xml:space="preserve"> instruction system on Iranian intermediate EFL learners’ writing performance and perception. On the basis of the results, it became evident that the</w:t>
      </w:r>
      <w:r>
        <w:t xml:space="preserve"> Webquest</w:t>
      </w:r>
      <w:r w:rsidRPr="0015606B">
        <w:t xml:space="preserve"> instruction system had significant effect on learner’s writing performance and perception. Students who worked with</w:t>
      </w:r>
      <w:r>
        <w:t xml:space="preserve"> Webquest</w:t>
      </w:r>
      <w:r w:rsidRPr="0015606B">
        <w:t xml:space="preserve"> gained significantly higher scores in writing performance than the students in the traditional writing classroom. Both the findings of the present study and teacher’s view demonstrated that those students who worked with the</w:t>
      </w:r>
      <w:r>
        <w:t xml:space="preserve"> Webquest</w:t>
      </w:r>
      <w:r w:rsidRPr="0015606B">
        <w:t xml:space="preserve"> were more active than students in traditional classroom. In addition</w:t>
      </w:r>
      <w:r>
        <w:t xml:space="preserve">, </w:t>
      </w:r>
      <w:r w:rsidRPr="0015606B">
        <w:t>it is suggested that teachers can use</w:t>
      </w:r>
      <w:r>
        <w:t xml:space="preserve"> Webquest</w:t>
      </w:r>
      <w:r w:rsidRPr="0015606B">
        <w:t xml:space="preserve"> instruction system in their courses in order to have an effective student-centered learning environment. As teachers observed,</w:t>
      </w:r>
      <w:r>
        <w:t xml:space="preserve"> Webquest</w:t>
      </w:r>
      <w:r w:rsidRPr="0015606B">
        <w:t xml:space="preserve"> offered good </w:t>
      </w:r>
      <w:r w:rsidRPr="0015606B">
        <w:lastRenderedPageBreak/>
        <w:t xml:space="preserve">internet based language learning opportunities because they provide learners with exposure to authentic materials, and possibilities for real communication in the target language. However, some limitations are attributed to this study. First, the sample size in this study was relatively small (N= 32). </w:t>
      </w:r>
      <w:r>
        <w:t>L</w:t>
      </w:r>
      <w:r w:rsidRPr="0015606B">
        <w:t>arger samples may provide different results. Second, the proficiency level of the participants was intermediate, and it is possible that learners of higher proficiency would have performed differently.</w:t>
      </w:r>
      <w:r>
        <w:t xml:space="preserve"> </w:t>
      </w:r>
      <w:r w:rsidRPr="0015606B">
        <w:t>Finally, the effect of</w:t>
      </w:r>
      <w:r>
        <w:t xml:space="preserve"> Webquest</w:t>
      </w:r>
      <w:r w:rsidRPr="0015606B">
        <w:t xml:space="preserve"> instruction system in students’ writing abilities in this study was investigated. Further research can be conducted to develop other language skills such as reading or language components like grammar and vocabulary.</w:t>
      </w:r>
    </w:p>
    <w:p w:rsidR="00F374B7" w:rsidRPr="0015606B" w:rsidRDefault="00F374B7" w:rsidP="00F374B7">
      <w:r w:rsidRPr="0015606B">
        <w:t>In conclusion, despite these limitations, it is hoped that the findings of this study provide further guidelines to teachers and researchers with the aim of gaining more comprehensive insights about computer technologies in</w:t>
      </w:r>
      <w:r>
        <w:t xml:space="preserve"> a</w:t>
      </w:r>
      <w:r w:rsidRPr="0015606B">
        <w:t xml:space="preserve"> pedagogical environment and support the needs and requirements of English language learners.</w:t>
      </w:r>
    </w:p>
    <w:p w:rsidR="00F374B7" w:rsidRPr="0015606B" w:rsidRDefault="00F374B7" w:rsidP="00F374B7"/>
    <w:p w:rsidR="00F374B7" w:rsidRPr="0015606B" w:rsidRDefault="00F374B7" w:rsidP="00F374B7">
      <w:pPr>
        <w:pStyle w:val="Heading3"/>
      </w:pPr>
      <w:r w:rsidRPr="0015606B">
        <w:t>References</w:t>
      </w:r>
    </w:p>
    <w:p w:rsidR="00F374B7" w:rsidRPr="002E0269" w:rsidRDefault="00F374B7" w:rsidP="00F374B7">
      <w:pPr>
        <w:ind w:left="720" w:hanging="720"/>
        <w:rPr>
          <w:sz w:val="20"/>
        </w:rPr>
      </w:pPr>
      <w:r w:rsidRPr="002E0269">
        <w:rPr>
          <w:sz w:val="20"/>
        </w:rPr>
        <w:t>Abbit, J., &amp; Ophus, J. (2008). What we know about the Impacts of Web-Quests: A review of research. AACE Journal, 16(4), 441-456.</w:t>
      </w:r>
    </w:p>
    <w:p w:rsidR="00F374B7" w:rsidRPr="002E0269" w:rsidRDefault="00F374B7" w:rsidP="00F374B7">
      <w:pPr>
        <w:ind w:left="720" w:hanging="720"/>
        <w:rPr>
          <w:sz w:val="20"/>
        </w:rPr>
      </w:pPr>
      <w:r w:rsidRPr="002E0269">
        <w:rPr>
          <w:sz w:val="20"/>
        </w:rPr>
        <w:t>Barros, C., &amp; Carvalho, A. (2007). From a Webquest to a Reading</w:t>
      </w:r>
      <w:r>
        <w:rPr>
          <w:sz w:val="20"/>
        </w:rPr>
        <w:t xml:space="preserve"> </w:t>
      </w:r>
      <w:r w:rsidRPr="002E0269">
        <w:rPr>
          <w:sz w:val="20"/>
        </w:rPr>
        <w:t>Quest: Learners’ reactions in an EFL extensive reading class. Interactive Educational Multimedia, 15, 37–51.</w:t>
      </w:r>
    </w:p>
    <w:p w:rsidR="00F374B7" w:rsidRPr="002E0269" w:rsidRDefault="00F374B7" w:rsidP="00F374B7">
      <w:pPr>
        <w:ind w:left="720" w:hanging="720"/>
        <w:rPr>
          <w:sz w:val="20"/>
        </w:rPr>
      </w:pPr>
      <w:r w:rsidRPr="002E0269">
        <w:rPr>
          <w:sz w:val="20"/>
        </w:rPr>
        <w:t>Braun, J. A., Jr. (1999). Ten ways to integrate technology into middle school social studies. Clearing House 72 (6): 345-51.</w:t>
      </w:r>
    </w:p>
    <w:p w:rsidR="00F374B7" w:rsidRPr="002E0269" w:rsidRDefault="00F374B7" w:rsidP="00F374B7">
      <w:pPr>
        <w:ind w:left="720" w:hanging="720"/>
        <w:rPr>
          <w:sz w:val="20"/>
        </w:rPr>
      </w:pPr>
      <w:r w:rsidRPr="002E0269">
        <w:rPr>
          <w:sz w:val="20"/>
        </w:rPr>
        <w:t>Carroll, V., Legg, R., &amp; Taylor, D. (2003). Redesigning an undergraduate</w:t>
      </w:r>
      <w:r>
        <w:rPr>
          <w:sz w:val="20"/>
        </w:rPr>
        <w:t xml:space="preserve"> </w:t>
      </w:r>
      <w:r w:rsidRPr="002E0269">
        <w:rPr>
          <w:sz w:val="20"/>
        </w:rPr>
        <w:t>geography course at Trinity College Dublin using</w:t>
      </w:r>
    </w:p>
    <w:p w:rsidR="00F374B7" w:rsidRPr="002E0269" w:rsidRDefault="00F374B7" w:rsidP="00F374B7">
      <w:pPr>
        <w:ind w:left="720" w:hanging="720"/>
        <w:rPr>
          <w:sz w:val="20"/>
        </w:rPr>
      </w:pPr>
      <w:r w:rsidRPr="002E0269">
        <w:rPr>
          <w:sz w:val="20"/>
        </w:rPr>
        <w:t>Chapelle, C. A. (1997). CALL in the year 2000: Still in search of research paradigms?  Language Learning &amp; Technology, 1 (1), 19-43.</w:t>
      </w:r>
    </w:p>
    <w:p w:rsidR="00F374B7" w:rsidRPr="002E0269" w:rsidRDefault="00F374B7" w:rsidP="00F374B7">
      <w:pPr>
        <w:ind w:left="720" w:hanging="720"/>
        <w:rPr>
          <w:sz w:val="20"/>
        </w:rPr>
      </w:pPr>
      <w:r w:rsidRPr="002E0269">
        <w:rPr>
          <w:sz w:val="20"/>
        </w:rPr>
        <w:t>Chuo, T.W.I. (2007). The effect of the Webquest writing instruction program on EFL learners’</w:t>
      </w:r>
      <w:r>
        <w:rPr>
          <w:sz w:val="20"/>
        </w:rPr>
        <w:t xml:space="preserve"> </w:t>
      </w:r>
      <w:r w:rsidRPr="002E0269">
        <w:rPr>
          <w:sz w:val="20"/>
        </w:rPr>
        <w:t>writing performance, writing apprehension, and perception. TESL-EJ March14, 2008 from http://tesl_ej.org/ej43/a3.html.</w:t>
      </w:r>
    </w:p>
    <w:p w:rsidR="00F374B7" w:rsidRPr="002E0269" w:rsidRDefault="00F374B7" w:rsidP="00F374B7">
      <w:pPr>
        <w:ind w:left="720" w:hanging="720"/>
        <w:rPr>
          <w:sz w:val="20"/>
        </w:rPr>
      </w:pPr>
      <w:r w:rsidRPr="002E0269">
        <w:rPr>
          <w:sz w:val="20"/>
        </w:rPr>
        <w:t xml:space="preserve">Dodge, B. (1995). Some thoughts about Webquests. Retrieved July 11, 2011, from http://edweb.sdsu.edu/courses/edtec596/about Webquests.html. </w:t>
      </w:r>
    </w:p>
    <w:p w:rsidR="00F374B7" w:rsidRPr="002E0269" w:rsidRDefault="00F374B7" w:rsidP="00F374B7">
      <w:pPr>
        <w:ind w:left="720" w:hanging="720"/>
        <w:rPr>
          <w:sz w:val="20"/>
        </w:rPr>
      </w:pPr>
      <w:r w:rsidRPr="002E0269">
        <w:rPr>
          <w:sz w:val="20"/>
        </w:rPr>
        <w:t>Dudeney, G. (2003). The quest for practical web usage. The Electronic Journal for English as a Second Language, 6(4). Retrieved March 17, 2010, from F: project Dissertation learning Quest for Practical Web Usage.mht</w:t>
      </w:r>
    </w:p>
    <w:p w:rsidR="00F374B7" w:rsidRPr="002E0269" w:rsidRDefault="00F374B7" w:rsidP="00F374B7">
      <w:pPr>
        <w:ind w:left="720" w:hanging="720"/>
        <w:rPr>
          <w:sz w:val="20"/>
        </w:rPr>
      </w:pPr>
      <w:r w:rsidRPr="002E0269">
        <w:rPr>
          <w:sz w:val="20"/>
        </w:rPr>
        <w:t>Egbert, J. and Hanson-Smith, E. (Eds). (1999). CALL Environment: Research, Practice,</w:t>
      </w:r>
      <w:r>
        <w:rPr>
          <w:sz w:val="20"/>
        </w:rPr>
        <w:t xml:space="preserve"> </w:t>
      </w:r>
      <w:r w:rsidRPr="002E0269">
        <w:rPr>
          <w:sz w:val="20"/>
        </w:rPr>
        <w:t>and Critical Issues. Bloomington: TESOL</w:t>
      </w:r>
    </w:p>
    <w:p w:rsidR="00F374B7" w:rsidRPr="002E0269" w:rsidRDefault="00F374B7" w:rsidP="00F374B7">
      <w:pPr>
        <w:ind w:left="720" w:hanging="720"/>
        <w:rPr>
          <w:sz w:val="20"/>
        </w:rPr>
      </w:pPr>
      <w:r w:rsidRPr="002E0269">
        <w:rPr>
          <w:sz w:val="20"/>
        </w:rPr>
        <w:t>Fowler, W. S. and Norman, C. o. e. (1976). Nelson language test. London: Butler &amp; Tanner Ltd.</w:t>
      </w:r>
    </w:p>
    <w:p w:rsidR="00F374B7" w:rsidRPr="002E0269" w:rsidRDefault="00F374B7" w:rsidP="00F374B7">
      <w:pPr>
        <w:ind w:left="720" w:hanging="720"/>
        <w:rPr>
          <w:sz w:val="20"/>
        </w:rPr>
      </w:pPr>
      <w:r w:rsidRPr="002E0269">
        <w:rPr>
          <w:sz w:val="20"/>
        </w:rPr>
        <w:t>Fox, L. (1999, October). Going on a Webquest with "at risk" adult learners. Paper presented at WEBNET 1999, Honolulu, HI.</w:t>
      </w:r>
    </w:p>
    <w:p w:rsidR="00F374B7" w:rsidRPr="002E0269" w:rsidRDefault="00F374B7" w:rsidP="00F374B7">
      <w:pPr>
        <w:ind w:left="720" w:hanging="720"/>
        <w:rPr>
          <w:sz w:val="20"/>
        </w:rPr>
      </w:pPr>
      <w:r w:rsidRPr="002E0269">
        <w:rPr>
          <w:sz w:val="20"/>
        </w:rPr>
        <w:t>Gaskill, M., McNulty, A., &amp; Brooks, D. W. (2006). Learning from Webquests. Journal of Science Education &amp; Technology, 15(2), 133-136.</w:t>
      </w:r>
    </w:p>
    <w:p w:rsidR="00F374B7" w:rsidRPr="002E0269" w:rsidRDefault="00F374B7" w:rsidP="00F374B7">
      <w:pPr>
        <w:ind w:left="720" w:hanging="720"/>
        <w:rPr>
          <w:sz w:val="20"/>
        </w:rPr>
      </w:pPr>
      <w:r w:rsidRPr="002E0269">
        <w:rPr>
          <w:sz w:val="20"/>
        </w:rPr>
        <w:t xml:space="preserve">Goldberg, A., Russell, M., &amp; Cook, A. (2003). The effects of computers on student Writing: A meta-analysis of studies from 1992-2002. The Journal of Technology Learning, and Assessment, </w:t>
      </w:r>
      <w:r>
        <w:rPr>
          <w:sz w:val="20"/>
        </w:rPr>
        <w:br/>
      </w:r>
      <w:r w:rsidRPr="002E0269">
        <w:rPr>
          <w:sz w:val="20"/>
        </w:rPr>
        <w:t>2(1), 1-51.</w:t>
      </w:r>
    </w:p>
    <w:p w:rsidR="00F374B7" w:rsidRPr="002E0269" w:rsidRDefault="00F374B7" w:rsidP="00F374B7">
      <w:pPr>
        <w:ind w:left="720" w:hanging="720"/>
        <w:rPr>
          <w:sz w:val="20"/>
        </w:rPr>
      </w:pPr>
      <w:r w:rsidRPr="002E0269">
        <w:rPr>
          <w:sz w:val="20"/>
        </w:rPr>
        <w:t>Goodman, S., &amp;</w:t>
      </w:r>
      <w:r>
        <w:rPr>
          <w:sz w:val="20"/>
        </w:rPr>
        <w:t xml:space="preserve"> </w:t>
      </w:r>
      <w:r w:rsidRPr="002E0269">
        <w:rPr>
          <w:sz w:val="20"/>
        </w:rPr>
        <w:t>Graddol, D. (1996). Redesigning English-new text, new identities. New York, USA: Routledge in association with The Open University</w:t>
      </w:r>
    </w:p>
    <w:p w:rsidR="00F374B7" w:rsidRPr="002E0269" w:rsidRDefault="00F374B7" w:rsidP="00F374B7">
      <w:pPr>
        <w:ind w:left="720" w:hanging="720"/>
        <w:rPr>
          <w:sz w:val="20"/>
        </w:rPr>
      </w:pPr>
      <w:r w:rsidRPr="002E0269">
        <w:rPr>
          <w:sz w:val="20"/>
        </w:rPr>
        <w:lastRenderedPageBreak/>
        <w:t>Hopkins-Moore, B. &amp; Fowler,s. (2002). "Webquests: changing the way we teach online". Paper presented at the CHI2002 conference in Minneapolis, MN. Retrieved 2002, from http://www.hopkins-moore.com/ Webquests.html</w:t>
      </w:r>
    </w:p>
    <w:p w:rsidR="00F374B7" w:rsidRPr="002E0269" w:rsidRDefault="00F374B7" w:rsidP="00F374B7">
      <w:pPr>
        <w:ind w:left="720" w:hanging="720"/>
        <w:rPr>
          <w:sz w:val="20"/>
        </w:rPr>
      </w:pPr>
      <w:r w:rsidRPr="002E0269">
        <w:rPr>
          <w:sz w:val="20"/>
        </w:rPr>
        <w:t>Hyland, K. (2003). Genre-based pedagogies: A social response to process. Journal of Second Language Writing, 12(1), 17–29.</w:t>
      </w:r>
    </w:p>
    <w:p w:rsidR="00F374B7" w:rsidRPr="002E0269" w:rsidRDefault="00F374B7" w:rsidP="00F374B7">
      <w:pPr>
        <w:ind w:left="720" w:hanging="720"/>
        <w:rPr>
          <w:sz w:val="20"/>
        </w:rPr>
      </w:pPr>
      <w:r w:rsidRPr="002E0269">
        <w:rPr>
          <w:sz w:val="20"/>
        </w:rPr>
        <w:t>Jonassen, D. (2005). Modeling with Technology: Mindtools for Conceptual Change (3rd Edition). Upper Saddle River, NJ: Merrill</w:t>
      </w:r>
    </w:p>
    <w:p w:rsidR="00F374B7" w:rsidRPr="002E0269" w:rsidRDefault="00F374B7" w:rsidP="00F374B7">
      <w:pPr>
        <w:ind w:left="720" w:hanging="720"/>
        <w:rPr>
          <w:sz w:val="20"/>
        </w:rPr>
      </w:pPr>
      <w:r w:rsidRPr="002E0269">
        <w:rPr>
          <w:sz w:val="20"/>
        </w:rPr>
        <w:t>Kanuka, H., Rourke, L., &amp; Laflamme, E. (2007). The influence of instructional methods on the quality of online discussion. British Journal of Educational Technology, 38(2), 260-271.</w:t>
      </w:r>
    </w:p>
    <w:p w:rsidR="00F374B7" w:rsidRPr="002E0269" w:rsidRDefault="00F374B7" w:rsidP="00F374B7">
      <w:pPr>
        <w:ind w:left="720" w:hanging="720"/>
        <w:rPr>
          <w:sz w:val="20"/>
        </w:rPr>
      </w:pPr>
      <w:r w:rsidRPr="002E0269">
        <w:rPr>
          <w:sz w:val="20"/>
        </w:rPr>
        <w:t>Kern, R., &amp; Warschauer, M. (2000). Introduction: Theory and practice of network-based language teaching. In M. Warschauer &amp; R. Kern (Eds.), Networked-based language teaching: Concepts and practice (pp. 1-19). Cambridge, UK: Cambridge University Press.</w:t>
      </w:r>
    </w:p>
    <w:p w:rsidR="00F374B7" w:rsidRPr="002E0269" w:rsidRDefault="00F374B7" w:rsidP="00F374B7">
      <w:pPr>
        <w:ind w:left="720" w:hanging="720"/>
        <w:rPr>
          <w:sz w:val="20"/>
        </w:rPr>
      </w:pPr>
      <w:r w:rsidRPr="002E0269">
        <w:rPr>
          <w:sz w:val="20"/>
        </w:rPr>
        <w:t>Lamb, A. &amp; Teclehaimanot, B. (2005). "A Decade of Webquests: A Retrospective". In M. Orey, McClendon,</w:t>
      </w:r>
      <w:r>
        <w:rPr>
          <w:sz w:val="20"/>
        </w:rPr>
        <w:t xml:space="preserve"> </w:t>
      </w:r>
      <w:r w:rsidRPr="002E0269">
        <w:rPr>
          <w:sz w:val="20"/>
        </w:rPr>
        <w:t>J &amp; Branch, R.M. (Eds.).Educational media and technology yearbook (vol.30). Englewood, CO: Libraries. Unlimited. Available from: http://www.eduscapes.com/earth/lamb Webquestprepub.pdf</w:t>
      </w:r>
    </w:p>
    <w:p w:rsidR="00F374B7" w:rsidRPr="002E0269" w:rsidRDefault="00F374B7" w:rsidP="00F374B7">
      <w:pPr>
        <w:ind w:left="720" w:hanging="720"/>
        <w:rPr>
          <w:sz w:val="20"/>
        </w:rPr>
      </w:pPr>
      <w:r w:rsidRPr="002E0269">
        <w:rPr>
          <w:sz w:val="20"/>
        </w:rPr>
        <w:t>Lankshear, C., Knobel, M. (2008). Digital Literacies: Concepts, Policies and Practices. New York: Peter Lang.</w:t>
      </w:r>
    </w:p>
    <w:p w:rsidR="00F374B7" w:rsidRPr="002E0269" w:rsidRDefault="00F374B7" w:rsidP="00F374B7">
      <w:pPr>
        <w:ind w:left="720" w:hanging="720"/>
        <w:rPr>
          <w:sz w:val="20"/>
        </w:rPr>
      </w:pPr>
      <w:r w:rsidRPr="002E0269">
        <w:rPr>
          <w:sz w:val="20"/>
        </w:rPr>
        <w:t>Lipscomb, G. (2003). I guess it was pretty fun: Using Webquests in the middle school classroom. The Clearing House, 76(3), 152-155.</w:t>
      </w:r>
    </w:p>
    <w:p w:rsidR="00F374B7" w:rsidRPr="002E0269" w:rsidRDefault="00F374B7" w:rsidP="00F374B7">
      <w:pPr>
        <w:ind w:left="720" w:hanging="720"/>
        <w:rPr>
          <w:sz w:val="20"/>
        </w:rPr>
      </w:pPr>
      <w:r w:rsidRPr="002E0269">
        <w:rPr>
          <w:sz w:val="20"/>
        </w:rPr>
        <w:t>Loveless, A., DeVoogd, G. L., &amp; Bohlin, R. M. (2001). “Something old, something new…: Is pedagogy affected by ICT”. In A. Loveless and V. Ellis. (eds) ICT, Pedagogy and the Curriculum. pp. 63-83. London and New York: Routledge Falmer.</w:t>
      </w:r>
    </w:p>
    <w:p w:rsidR="00F374B7" w:rsidRPr="002E0269" w:rsidRDefault="00F374B7" w:rsidP="00F374B7">
      <w:pPr>
        <w:ind w:left="720" w:hanging="720"/>
        <w:rPr>
          <w:sz w:val="20"/>
        </w:rPr>
      </w:pPr>
      <w:r w:rsidRPr="002E0269">
        <w:rPr>
          <w:sz w:val="20"/>
        </w:rPr>
        <w:t>March, T. (2003). The learning power of Webquests. Educational Leadership, 61(4), 42-47.</w:t>
      </w:r>
    </w:p>
    <w:p w:rsidR="00F374B7" w:rsidRPr="002E0269" w:rsidRDefault="00F374B7" w:rsidP="00F374B7">
      <w:pPr>
        <w:ind w:left="720" w:hanging="720"/>
        <w:rPr>
          <w:sz w:val="20"/>
        </w:rPr>
      </w:pPr>
      <w:r w:rsidRPr="002E0269">
        <w:rPr>
          <w:sz w:val="20"/>
        </w:rPr>
        <w:t>Matejka, D. (2004). "Project-Based learning in online postgraduate education". In Journal of Issues in Informing Science and Information Technology Volume I. Available from: http://articles.iisit.org/073matej.pdf</w:t>
      </w:r>
    </w:p>
    <w:p w:rsidR="00F374B7" w:rsidRPr="002E0269" w:rsidRDefault="00F374B7" w:rsidP="00F374B7">
      <w:pPr>
        <w:ind w:left="720" w:hanging="720"/>
        <w:rPr>
          <w:sz w:val="20"/>
        </w:rPr>
      </w:pPr>
      <w:r w:rsidRPr="002E0269">
        <w:rPr>
          <w:sz w:val="20"/>
        </w:rPr>
        <w:t>McGhee, M., &amp; Lew, C. (2007). Leadership and writing: How principal’s knowledge, beliefs, and interventions affect writing instruction in elementary and secondary schools. Educational Administration Quarterly, 43(3), 358-380. doi: 10.1177/0013161X06297202.</w:t>
      </w:r>
    </w:p>
    <w:p w:rsidR="00F374B7" w:rsidRPr="002E0269" w:rsidRDefault="00F374B7" w:rsidP="00F374B7">
      <w:pPr>
        <w:ind w:left="720" w:hanging="720"/>
        <w:rPr>
          <w:sz w:val="20"/>
        </w:rPr>
      </w:pPr>
      <w:r w:rsidRPr="002E0269">
        <w:rPr>
          <w:sz w:val="20"/>
        </w:rPr>
        <w:t>Murray, D. E., &amp; McPherson, P. (2004). Using the Web to support language learning. Sydney, Australia: National Centre for English Language Teaching and Research.</w:t>
      </w:r>
    </w:p>
    <w:p w:rsidR="00F374B7" w:rsidRPr="002E0269" w:rsidRDefault="00F374B7" w:rsidP="00F374B7">
      <w:pPr>
        <w:ind w:left="720" w:hanging="720"/>
        <w:rPr>
          <w:sz w:val="20"/>
        </w:rPr>
      </w:pPr>
      <w:r w:rsidRPr="002E0269">
        <w:rPr>
          <w:sz w:val="20"/>
        </w:rPr>
        <w:t>Murray, R. (2006).  Webquests celebrate 10 years: Have they delivered? Action Research Exchange, 5(1).</w:t>
      </w:r>
    </w:p>
    <w:p w:rsidR="00F374B7" w:rsidRPr="002E0269" w:rsidRDefault="00F374B7" w:rsidP="00F374B7">
      <w:pPr>
        <w:ind w:left="720" w:hanging="720"/>
        <w:rPr>
          <w:sz w:val="20"/>
        </w:rPr>
      </w:pPr>
      <w:r w:rsidRPr="002E0269">
        <w:rPr>
          <w:sz w:val="20"/>
        </w:rPr>
        <w:t>Peterson, C.L., Caverly, D.C. &amp; McDonald, L. (2003). Developing academic literacy through Webquests. Journal of Developmental Education 26(3): 38-39.</w:t>
      </w:r>
    </w:p>
    <w:p w:rsidR="00F374B7" w:rsidRPr="002E0269" w:rsidRDefault="00F374B7" w:rsidP="00F374B7">
      <w:pPr>
        <w:ind w:left="720" w:hanging="720"/>
        <w:rPr>
          <w:sz w:val="20"/>
        </w:rPr>
      </w:pPr>
      <w:r w:rsidRPr="002E0269">
        <w:rPr>
          <w:sz w:val="20"/>
        </w:rPr>
        <w:t>Pica, T., Holliday, L., Lewis, N., &amp;</w:t>
      </w:r>
      <w:r>
        <w:rPr>
          <w:sz w:val="20"/>
        </w:rPr>
        <w:t xml:space="preserve"> </w:t>
      </w:r>
      <w:r w:rsidRPr="002E0269">
        <w:rPr>
          <w:sz w:val="20"/>
        </w:rPr>
        <w:t>Morgenthaler, L. (1989).Comprehensible output as an outcome of linguistic demands on the learner. Studies in Second Language Acquisition, 11, 63-90.</w:t>
      </w:r>
    </w:p>
    <w:p w:rsidR="00F374B7" w:rsidRPr="002E0269" w:rsidRDefault="00F374B7" w:rsidP="00F374B7">
      <w:pPr>
        <w:ind w:left="720" w:hanging="720"/>
        <w:rPr>
          <w:sz w:val="20"/>
        </w:rPr>
      </w:pPr>
      <w:r w:rsidRPr="002E0269">
        <w:rPr>
          <w:sz w:val="20"/>
        </w:rPr>
        <w:t>Popham, A., &amp; Wentworth, N. (2003). Train-the-trainer: Developing a Web quest workshop. Paper presented at the Society for Information Technology and Teacher Education International Conference 2003, Albuquerque, NM.</w:t>
      </w:r>
    </w:p>
    <w:p w:rsidR="00F374B7" w:rsidRPr="002E0269" w:rsidRDefault="00F374B7" w:rsidP="00F374B7">
      <w:pPr>
        <w:ind w:left="720" w:hanging="720"/>
        <w:rPr>
          <w:sz w:val="20"/>
        </w:rPr>
      </w:pPr>
      <w:r w:rsidRPr="002E0269">
        <w:rPr>
          <w:sz w:val="20"/>
        </w:rPr>
        <w:t>Read, S. (2010). A model for scaffolding writing instruction: IMSCI. The Reading Teacher, 64(1), 47-52. doi:10.1598/RT.64.1.5.</w:t>
      </w:r>
    </w:p>
    <w:p w:rsidR="00F374B7" w:rsidRPr="002E0269" w:rsidRDefault="00F374B7" w:rsidP="00F374B7">
      <w:pPr>
        <w:ind w:left="720" w:hanging="720"/>
        <w:rPr>
          <w:sz w:val="20"/>
        </w:rPr>
      </w:pPr>
      <w:r w:rsidRPr="002E0269">
        <w:rPr>
          <w:sz w:val="20"/>
        </w:rPr>
        <w:t>Richards, J.</w:t>
      </w:r>
      <w:r>
        <w:rPr>
          <w:sz w:val="20"/>
        </w:rPr>
        <w:t xml:space="preserve"> C</w:t>
      </w:r>
      <w:r w:rsidRPr="002E0269">
        <w:rPr>
          <w:sz w:val="20"/>
        </w:rPr>
        <w:t>. &amp; Renandya, W.</w:t>
      </w:r>
      <w:r>
        <w:rPr>
          <w:sz w:val="20"/>
        </w:rPr>
        <w:t xml:space="preserve"> A</w:t>
      </w:r>
      <w:r w:rsidRPr="002E0269">
        <w:rPr>
          <w:sz w:val="20"/>
        </w:rPr>
        <w:t>. (2002). Methodology of Current Practice: An Anthology of Current Practice. Cambridge: Cambridge University Press.</w:t>
      </w:r>
    </w:p>
    <w:p w:rsidR="00F374B7" w:rsidRPr="002E0269" w:rsidRDefault="00F374B7" w:rsidP="00F374B7">
      <w:pPr>
        <w:ind w:left="720" w:hanging="720"/>
        <w:rPr>
          <w:sz w:val="20"/>
        </w:rPr>
      </w:pPr>
      <w:r w:rsidRPr="002E0269">
        <w:rPr>
          <w:sz w:val="20"/>
        </w:rPr>
        <w:lastRenderedPageBreak/>
        <w:t>Santavenere, A. (2003). The effects of educational technology upon the critical thinking and analytical skills of below grade-level and or non</w:t>
      </w:r>
      <w:r>
        <w:rPr>
          <w:sz w:val="20"/>
        </w:rPr>
        <w:t>-</w:t>
      </w:r>
      <w:r w:rsidRPr="002E0269">
        <w:rPr>
          <w:sz w:val="20"/>
        </w:rPr>
        <w:t>college bound high school students. Unpublished master's thesis, Salisbury University, Maryland.</w:t>
      </w:r>
    </w:p>
    <w:p w:rsidR="00F374B7" w:rsidRPr="002E0269" w:rsidRDefault="00F374B7" w:rsidP="00F374B7">
      <w:pPr>
        <w:ind w:left="720" w:hanging="720"/>
        <w:rPr>
          <w:sz w:val="20"/>
        </w:rPr>
      </w:pPr>
      <w:r w:rsidRPr="002E0269">
        <w:rPr>
          <w:sz w:val="20"/>
        </w:rPr>
        <w:t>Seamon, M. (2001). Changing instructional practices through technology training Strickland, J. (2005). Using Webquests to teach content: Comparing instructional strategies. Contemporary Issues in Technology and Teacher Education, 5(2), 138-148. [Electronic Version]. The Book Report, 19(5), 40- 42.</w:t>
      </w:r>
    </w:p>
    <w:p w:rsidR="00F374B7" w:rsidRPr="002E0269" w:rsidRDefault="00F374B7" w:rsidP="00F374B7">
      <w:pPr>
        <w:ind w:left="720" w:hanging="720"/>
        <w:rPr>
          <w:sz w:val="20"/>
        </w:rPr>
      </w:pPr>
      <w:r w:rsidRPr="002E0269">
        <w:rPr>
          <w:sz w:val="20"/>
        </w:rPr>
        <w:t>Torres, P. (2007).  Webquest: A collaborative strategy to teach content and language. University of Granada.</w:t>
      </w:r>
    </w:p>
    <w:p w:rsidR="00F374B7" w:rsidRPr="002E0269" w:rsidRDefault="00F374B7" w:rsidP="00F374B7">
      <w:pPr>
        <w:ind w:left="720" w:hanging="720"/>
        <w:rPr>
          <w:sz w:val="20"/>
        </w:rPr>
      </w:pPr>
      <w:r w:rsidRPr="002E0269">
        <w:rPr>
          <w:sz w:val="20"/>
        </w:rPr>
        <w:t>Tsai, S.H.E. (2005). The effect of EFL reading instruction by using a Webquest Learning module</w:t>
      </w:r>
      <w:r>
        <w:rPr>
          <w:sz w:val="20"/>
        </w:rPr>
        <w:t xml:space="preserve"> </w:t>
      </w:r>
      <w:r w:rsidRPr="002E0269">
        <w:rPr>
          <w:sz w:val="20"/>
        </w:rPr>
        <w:t>as a CAI enhancement on college students’ reading performance in Taiwan. Idaho State University: AAT 3193423.</w:t>
      </w:r>
    </w:p>
    <w:p w:rsidR="00F374B7" w:rsidRPr="002E0269" w:rsidRDefault="00F374B7" w:rsidP="00F374B7">
      <w:pPr>
        <w:ind w:left="720" w:hanging="720"/>
        <w:rPr>
          <w:sz w:val="20"/>
        </w:rPr>
      </w:pPr>
      <w:r w:rsidRPr="002E0269">
        <w:rPr>
          <w:sz w:val="20"/>
        </w:rPr>
        <w:t>Tsai, S. (2006). Students' perceptions of English learning through EFL Web Quest. Paper presented at the World Conference on Educational Multimedia, Hypermedia and Telecommunications, Orlando, FL.</w:t>
      </w:r>
    </w:p>
    <w:p w:rsidR="00F374B7" w:rsidRPr="002E0269" w:rsidRDefault="00F374B7" w:rsidP="00F374B7">
      <w:pPr>
        <w:ind w:left="720" w:hanging="720"/>
        <w:rPr>
          <w:sz w:val="20"/>
        </w:rPr>
      </w:pPr>
      <w:r w:rsidRPr="002E0269">
        <w:rPr>
          <w:sz w:val="20"/>
        </w:rPr>
        <w:t>Ware, P. D., &amp; Kramsch, C. (2005). Toward and Intercultural Stance: Teaching German and English through Telecollaboration, The Modern Language Journal, 89, 190-205.</w:t>
      </w:r>
    </w:p>
    <w:p w:rsidR="00F374B7" w:rsidRPr="002E0269" w:rsidRDefault="00F374B7" w:rsidP="00F374B7">
      <w:pPr>
        <w:ind w:left="720" w:hanging="720"/>
        <w:rPr>
          <w:sz w:val="20"/>
        </w:rPr>
      </w:pPr>
      <w:r w:rsidRPr="002E0269">
        <w:rPr>
          <w:sz w:val="20"/>
        </w:rPr>
        <w:t>Warren, S., Dondlinger, M., &amp; Barab, S. (2008). A MUVE towards PBL writing: Effects of a digital learning environment designed to improve elementary student writing. Journal of Research on Technology in Education, 41(1), 113-140.</w:t>
      </w:r>
    </w:p>
    <w:p w:rsidR="00F374B7" w:rsidRPr="002E0269" w:rsidRDefault="00F374B7" w:rsidP="00F374B7">
      <w:pPr>
        <w:ind w:left="720" w:hanging="720"/>
        <w:rPr>
          <w:sz w:val="20"/>
        </w:rPr>
      </w:pPr>
      <w:r w:rsidRPr="002E0269">
        <w:rPr>
          <w:sz w:val="20"/>
        </w:rPr>
        <w:t>Warschauer, M. (1999). Electronic Literacies: Language, culture and power in online education. Mahawah, NJ: Elbaum Associates.</w:t>
      </w:r>
    </w:p>
    <w:p w:rsidR="00F374B7" w:rsidRPr="002E0269" w:rsidRDefault="00F374B7" w:rsidP="00F374B7">
      <w:pPr>
        <w:ind w:left="720" w:hanging="720"/>
        <w:rPr>
          <w:sz w:val="20"/>
        </w:rPr>
      </w:pPr>
      <w:r w:rsidRPr="002E0269">
        <w:rPr>
          <w:sz w:val="20"/>
        </w:rPr>
        <w:t>Warschauer, M. (2001). On-line communication. In R. Carter, &amp; D. Nunan (EDs.), The Cambridge Guide to Teaching English to Speakers of Other Languages (pp. 207-212). Cambridge: Cambridge University Press.</w:t>
      </w:r>
    </w:p>
    <w:p w:rsidR="00F374B7" w:rsidRPr="002E0269" w:rsidRDefault="00F374B7" w:rsidP="00F374B7">
      <w:pPr>
        <w:ind w:left="720" w:hanging="720"/>
        <w:rPr>
          <w:sz w:val="20"/>
        </w:rPr>
      </w:pPr>
      <w:r w:rsidRPr="002E0269">
        <w:rPr>
          <w:sz w:val="20"/>
        </w:rPr>
        <w:t>Weir, C. J. (1990). Communicative Language Testing. Englewood Cliffs, NJ: Prentice Hall Regents.</w:t>
      </w:r>
    </w:p>
    <w:p w:rsidR="00F374B7" w:rsidRPr="002E0269" w:rsidRDefault="00F374B7" w:rsidP="00F374B7">
      <w:pPr>
        <w:ind w:left="720" w:hanging="720"/>
        <w:rPr>
          <w:sz w:val="20"/>
        </w:rPr>
      </w:pPr>
      <w:r w:rsidRPr="002E0269">
        <w:rPr>
          <w:sz w:val="20"/>
        </w:rPr>
        <w:t>Williamson, M. M., &amp; Pence, P. (1989). Word processing and student writers. In B. K. Britton &amp; S. M. Glynn (Eds.) (1989). Computer writing environments: Theory, research, and design. (pp.93-127). Hillsdale, NJ: Lawrence Erlbaum.</w:t>
      </w:r>
    </w:p>
    <w:p w:rsidR="00F374B7" w:rsidRPr="002E0269" w:rsidRDefault="00F374B7" w:rsidP="00F374B7">
      <w:pPr>
        <w:ind w:left="720" w:hanging="720"/>
        <w:rPr>
          <w:sz w:val="20"/>
        </w:rPr>
      </w:pPr>
    </w:p>
    <w:p w:rsidR="00F374B7" w:rsidRPr="0015606B" w:rsidRDefault="00F374B7" w:rsidP="00F374B7">
      <w:pPr>
        <w:pStyle w:val="Heading3"/>
      </w:pPr>
      <w:r w:rsidRPr="0015606B">
        <w:t xml:space="preserve">About the </w:t>
      </w:r>
      <w:r>
        <w:t>a</w:t>
      </w:r>
      <w:r w:rsidRPr="0015606B">
        <w:t>uthors</w:t>
      </w:r>
    </w:p>
    <w:p w:rsidR="00F374B7" w:rsidRPr="0015606B" w:rsidRDefault="00F374B7" w:rsidP="00F374B7">
      <w:r w:rsidRPr="000A1C3F">
        <w:rPr>
          <w:rFonts w:ascii="Arial" w:hAnsi="Arial" w:cs="Arial"/>
          <w:b/>
          <w:sz w:val="24"/>
          <w:szCs w:val="24"/>
        </w:rPr>
        <w:t>Marzie Arsanjani</w:t>
      </w:r>
      <w:r w:rsidRPr="0015606B">
        <w:t xml:space="preserve"> is a M.A. student majoring in TEFL at IAU South Tehran Branch. She is interested in CMC and e-learning</w:t>
      </w:r>
    </w:p>
    <w:p w:rsidR="00F374B7" w:rsidRDefault="009557B1" w:rsidP="00F374B7">
      <w:hyperlink r:id="rId27" w:history="1">
        <w:r w:rsidR="00F374B7" w:rsidRPr="007836B7">
          <w:rPr>
            <w:rStyle w:val="Hyperlink"/>
          </w:rPr>
          <w:t>Arsanjani.m@Gmail.com</w:t>
        </w:r>
      </w:hyperlink>
    </w:p>
    <w:p w:rsidR="00F374B7" w:rsidRDefault="00F374B7" w:rsidP="00F374B7"/>
    <w:p w:rsidR="00F374B7" w:rsidRPr="0015606B" w:rsidRDefault="00F374B7" w:rsidP="00F374B7">
      <w:r w:rsidRPr="000A1C3F">
        <w:rPr>
          <w:rFonts w:ascii="Arial" w:hAnsi="Arial" w:cs="Arial"/>
          <w:b/>
          <w:sz w:val="24"/>
          <w:szCs w:val="24"/>
        </w:rPr>
        <w:t>Esmail Faghih</w:t>
      </w:r>
      <w:r w:rsidRPr="0015606B">
        <w:t xml:space="preserve"> is a professor of Teaching English as a Foreign</w:t>
      </w:r>
      <w:r>
        <w:t xml:space="preserve"> </w:t>
      </w:r>
      <w:r w:rsidRPr="0015606B">
        <w:t>Language (TEFL)</w:t>
      </w:r>
      <w:r>
        <w:t xml:space="preserve"> </w:t>
      </w:r>
      <w:r w:rsidRPr="0015606B">
        <w:t>from the University of Illinois, currently</w:t>
      </w:r>
      <w:r>
        <w:t xml:space="preserve"> </w:t>
      </w:r>
      <w:r w:rsidRPr="0015606B">
        <w:t>teaching at IAU South Tehran Branch. Prof. Faghih has written, published, and translated numerous books and articles.</w:t>
      </w:r>
    </w:p>
    <w:p w:rsidR="00F374B7" w:rsidRDefault="009557B1" w:rsidP="00F374B7">
      <w:hyperlink r:id="rId28" w:history="1">
        <w:r w:rsidR="00F374B7" w:rsidRPr="007836B7">
          <w:rPr>
            <w:rStyle w:val="Hyperlink"/>
          </w:rPr>
          <w:t>efaghih@azad.ac.ir</w:t>
        </w:r>
      </w:hyperlink>
    </w:p>
    <w:p w:rsidR="00F374B7" w:rsidRDefault="00F374B7" w:rsidP="00F374B7"/>
    <w:p w:rsidR="00F374B7" w:rsidRDefault="00F374B7" w:rsidP="00F374B7"/>
    <w:p w:rsidR="00F374B7" w:rsidRDefault="00F374B7" w:rsidP="00F374B7"/>
    <w:p w:rsidR="00F374B7" w:rsidRDefault="009557B1" w:rsidP="00F374B7">
      <w:hyperlink w:anchor="TOC" w:history="1">
        <w:r w:rsidR="00F374B7" w:rsidRPr="000C7B67">
          <w:rPr>
            <w:rStyle w:val="Hyperlink"/>
            <w:rFonts w:ascii="Arial" w:hAnsi="Arial" w:cs="Arial"/>
            <w:sz w:val="16"/>
            <w:szCs w:val="16"/>
          </w:rPr>
          <w:t>Return to Table of Contents</w:t>
        </w:r>
      </w:hyperlink>
      <w:r w:rsidR="00F374B7">
        <w:br w:type="page"/>
      </w:r>
    </w:p>
    <w:p w:rsidR="00F374B7" w:rsidRPr="0015606B" w:rsidRDefault="00F374B7" w:rsidP="00F374B7">
      <w:pPr>
        <w:pStyle w:val="Heading5"/>
      </w:pPr>
      <w:r w:rsidRPr="0015606B">
        <w:lastRenderedPageBreak/>
        <w:t>Appendix A</w:t>
      </w:r>
    </w:p>
    <w:p w:rsidR="00F374B7" w:rsidRDefault="00F374B7" w:rsidP="00F374B7">
      <w:pPr>
        <w:pStyle w:val="Heading5"/>
      </w:pPr>
      <w:r w:rsidRPr="000A1C3F">
        <w:rPr>
          <w:rStyle w:val="Heading1Char"/>
          <w:b/>
        </w:rPr>
        <w:t>TEEP Attribute Writing Scales</w:t>
      </w:r>
      <w:r w:rsidRPr="0015606B">
        <w:t xml:space="preserve"> </w:t>
      </w:r>
      <w:r>
        <w:br/>
      </w:r>
      <w:r w:rsidRPr="0015606B">
        <w:t>(Weir, 1990,</w:t>
      </w:r>
      <w:r>
        <w:t xml:space="preserve"> r</w:t>
      </w:r>
      <w:r w:rsidRPr="0015606B">
        <w:t>eproduced in Weigle, 2002)</w:t>
      </w:r>
    </w:p>
    <w:p w:rsidR="00F374B7" w:rsidRPr="000A1C3F" w:rsidRDefault="00F374B7" w:rsidP="00F374B7"/>
    <w:p w:rsidR="00F374B7" w:rsidRPr="000A1C3F" w:rsidRDefault="00F374B7" w:rsidP="00F374B7">
      <w:pPr>
        <w:spacing w:after="60"/>
        <w:rPr>
          <w:sz w:val="18"/>
          <w:szCs w:val="18"/>
        </w:rPr>
      </w:pPr>
      <w:r w:rsidRPr="000A1C3F">
        <w:rPr>
          <w:sz w:val="18"/>
          <w:szCs w:val="18"/>
        </w:rPr>
        <w:t>A. Relevance and adequacy of content</w:t>
      </w:r>
    </w:p>
    <w:p w:rsidR="00F374B7" w:rsidRPr="000A1C3F" w:rsidRDefault="00F374B7" w:rsidP="00F374B7">
      <w:pPr>
        <w:spacing w:after="60"/>
        <w:ind w:left="720"/>
        <w:rPr>
          <w:sz w:val="18"/>
          <w:szCs w:val="18"/>
        </w:rPr>
      </w:pPr>
      <w:r w:rsidRPr="000A1C3F">
        <w:rPr>
          <w:sz w:val="18"/>
          <w:szCs w:val="18"/>
        </w:rPr>
        <w:t>0. The answer bears almost no relation to the task set. Totally inadequate answer.</w:t>
      </w:r>
    </w:p>
    <w:p w:rsidR="00F374B7" w:rsidRPr="000A1C3F" w:rsidRDefault="00F374B7" w:rsidP="00F374B7">
      <w:pPr>
        <w:spacing w:after="60"/>
        <w:ind w:left="720"/>
        <w:rPr>
          <w:sz w:val="18"/>
          <w:szCs w:val="18"/>
        </w:rPr>
      </w:pPr>
      <w:r w:rsidRPr="000A1C3F">
        <w:rPr>
          <w:sz w:val="18"/>
          <w:szCs w:val="18"/>
        </w:rPr>
        <w:t>1. Answer of limited relevance to the task set. Possibly major gaps in treatment of topic and/or pointless repetition.</w:t>
      </w:r>
    </w:p>
    <w:p w:rsidR="00F374B7" w:rsidRPr="000A1C3F" w:rsidRDefault="00F374B7" w:rsidP="00F374B7">
      <w:pPr>
        <w:spacing w:after="60"/>
        <w:ind w:left="720"/>
        <w:rPr>
          <w:sz w:val="18"/>
          <w:szCs w:val="18"/>
        </w:rPr>
      </w:pPr>
      <w:r w:rsidRPr="000A1C3F">
        <w:rPr>
          <w:sz w:val="18"/>
          <w:szCs w:val="18"/>
        </w:rPr>
        <w:t>2. For the most part answers the tasks set, though there may be some gaps or redundant information.</w:t>
      </w:r>
    </w:p>
    <w:p w:rsidR="00F374B7" w:rsidRPr="000A1C3F" w:rsidRDefault="00F374B7" w:rsidP="00F374B7">
      <w:pPr>
        <w:ind w:left="720"/>
        <w:rPr>
          <w:sz w:val="18"/>
          <w:szCs w:val="18"/>
        </w:rPr>
      </w:pPr>
      <w:r w:rsidRPr="000A1C3F">
        <w:rPr>
          <w:sz w:val="18"/>
          <w:szCs w:val="18"/>
        </w:rPr>
        <w:t>3. Relevant and adequate answer to the task set.</w:t>
      </w:r>
    </w:p>
    <w:p w:rsidR="00F374B7" w:rsidRPr="000A1C3F" w:rsidRDefault="00F374B7" w:rsidP="00F374B7">
      <w:pPr>
        <w:spacing w:after="60"/>
        <w:rPr>
          <w:sz w:val="18"/>
          <w:szCs w:val="18"/>
        </w:rPr>
      </w:pPr>
      <w:r w:rsidRPr="000A1C3F">
        <w:rPr>
          <w:sz w:val="18"/>
          <w:szCs w:val="18"/>
        </w:rPr>
        <w:t>B. Compositional organization</w:t>
      </w:r>
    </w:p>
    <w:p w:rsidR="00F374B7" w:rsidRPr="000A1C3F" w:rsidRDefault="00F374B7" w:rsidP="00F374B7">
      <w:pPr>
        <w:spacing w:after="60"/>
        <w:ind w:left="720"/>
        <w:rPr>
          <w:sz w:val="18"/>
          <w:szCs w:val="18"/>
        </w:rPr>
      </w:pPr>
      <w:r w:rsidRPr="000A1C3F">
        <w:rPr>
          <w:sz w:val="18"/>
          <w:szCs w:val="18"/>
        </w:rPr>
        <w:t>0. No apparent organization of the content.</w:t>
      </w:r>
    </w:p>
    <w:p w:rsidR="00F374B7" w:rsidRPr="000A1C3F" w:rsidRDefault="00F374B7" w:rsidP="00F374B7">
      <w:pPr>
        <w:spacing w:after="60"/>
        <w:ind w:left="720"/>
        <w:rPr>
          <w:sz w:val="18"/>
          <w:szCs w:val="18"/>
        </w:rPr>
      </w:pPr>
      <w:r w:rsidRPr="000A1C3F">
        <w:rPr>
          <w:sz w:val="18"/>
          <w:szCs w:val="18"/>
        </w:rPr>
        <w:t>1. Very little organization of content. Underlying structure not sufficiently controlled.</w:t>
      </w:r>
    </w:p>
    <w:p w:rsidR="00F374B7" w:rsidRPr="000A1C3F" w:rsidRDefault="00F374B7" w:rsidP="00F374B7">
      <w:pPr>
        <w:spacing w:after="60"/>
        <w:ind w:left="720"/>
        <w:rPr>
          <w:sz w:val="18"/>
          <w:szCs w:val="18"/>
        </w:rPr>
      </w:pPr>
      <w:r w:rsidRPr="000A1C3F">
        <w:rPr>
          <w:sz w:val="18"/>
          <w:szCs w:val="18"/>
        </w:rPr>
        <w:t>2. Some organizational skills in evidence, but not adequately controlled.</w:t>
      </w:r>
    </w:p>
    <w:p w:rsidR="00F374B7" w:rsidRPr="000A1C3F" w:rsidRDefault="00F374B7" w:rsidP="00F374B7">
      <w:pPr>
        <w:ind w:left="720"/>
        <w:rPr>
          <w:sz w:val="18"/>
          <w:szCs w:val="18"/>
        </w:rPr>
      </w:pPr>
      <w:r w:rsidRPr="000A1C3F">
        <w:rPr>
          <w:sz w:val="18"/>
          <w:szCs w:val="18"/>
        </w:rPr>
        <w:t>3. Overall shape and internal pattern clear. Organizational skills adequately controlled.</w:t>
      </w:r>
    </w:p>
    <w:p w:rsidR="00F374B7" w:rsidRPr="000A1C3F" w:rsidRDefault="00F374B7" w:rsidP="00F374B7">
      <w:pPr>
        <w:spacing w:after="60"/>
        <w:rPr>
          <w:sz w:val="18"/>
          <w:szCs w:val="18"/>
        </w:rPr>
      </w:pPr>
      <w:r w:rsidRPr="000A1C3F">
        <w:rPr>
          <w:sz w:val="18"/>
          <w:szCs w:val="18"/>
        </w:rPr>
        <w:t>C. Cohesion</w:t>
      </w:r>
    </w:p>
    <w:p w:rsidR="00F374B7" w:rsidRPr="000A1C3F" w:rsidRDefault="00F374B7" w:rsidP="00F374B7">
      <w:pPr>
        <w:spacing w:after="60"/>
        <w:ind w:left="720"/>
        <w:rPr>
          <w:sz w:val="18"/>
          <w:szCs w:val="18"/>
        </w:rPr>
      </w:pPr>
      <w:r w:rsidRPr="000A1C3F">
        <w:rPr>
          <w:sz w:val="18"/>
          <w:szCs w:val="18"/>
        </w:rPr>
        <w:t>0. Cohesion almost totally absent. Writing so fragmentary that comprehension of the intended communication is virtually impossible.</w:t>
      </w:r>
    </w:p>
    <w:p w:rsidR="00F374B7" w:rsidRPr="000A1C3F" w:rsidRDefault="00F374B7" w:rsidP="00F374B7">
      <w:pPr>
        <w:spacing w:after="60"/>
        <w:ind w:left="720"/>
        <w:rPr>
          <w:sz w:val="18"/>
          <w:szCs w:val="18"/>
        </w:rPr>
      </w:pPr>
      <w:r w:rsidRPr="000A1C3F">
        <w:rPr>
          <w:sz w:val="18"/>
          <w:szCs w:val="18"/>
        </w:rPr>
        <w:t>1. Unsatisfactory cohesion may cause difficulty in comprehension of most of the intended communication.</w:t>
      </w:r>
    </w:p>
    <w:p w:rsidR="00F374B7" w:rsidRPr="000A1C3F" w:rsidRDefault="00F374B7" w:rsidP="00F374B7">
      <w:pPr>
        <w:spacing w:after="60"/>
        <w:ind w:left="720"/>
        <w:rPr>
          <w:sz w:val="18"/>
          <w:szCs w:val="18"/>
        </w:rPr>
      </w:pPr>
      <w:r w:rsidRPr="000A1C3F">
        <w:rPr>
          <w:sz w:val="18"/>
          <w:szCs w:val="18"/>
        </w:rPr>
        <w:t>2. For the most part satisfactory cohesion although occasional deficiencies may mean that certain parts of the communication are not always effective.</w:t>
      </w:r>
    </w:p>
    <w:p w:rsidR="00F374B7" w:rsidRPr="000A1C3F" w:rsidRDefault="00F374B7" w:rsidP="00F374B7">
      <w:pPr>
        <w:ind w:left="720"/>
        <w:rPr>
          <w:sz w:val="18"/>
          <w:szCs w:val="18"/>
        </w:rPr>
      </w:pPr>
      <w:r w:rsidRPr="000A1C3F">
        <w:rPr>
          <w:sz w:val="18"/>
          <w:szCs w:val="18"/>
        </w:rPr>
        <w:t>3. Satisfactory use of cohesion resulting in effective communication.</w:t>
      </w:r>
    </w:p>
    <w:p w:rsidR="00F374B7" w:rsidRPr="000A1C3F" w:rsidRDefault="00F374B7" w:rsidP="00F374B7">
      <w:pPr>
        <w:spacing w:after="60"/>
        <w:rPr>
          <w:sz w:val="18"/>
          <w:szCs w:val="18"/>
        </w:rPr>
      </w:pPr>
      <w:r w:rsidRPr="000A1C3F">
        <w:rPr>
          <w:sz w:val="18"/>
          <w:szCs w:val="18"/>
        </w:rPr>
        <w:t>D. Adequacy of vocabulary for purpose.</w:t>
      </w:r>
    </w:p>
    <w:p w:rsidR="00F374B7" w:rsidRPr="000A1C3F" w:rsidRDefault="00F374B7" w:rsidP="00F374B7">
      <w:pPr>
        <w:spacing w:after="60"/>
        <w:ind w:left="720"/>
        <w:rPr>
          <w:sz w:val="18"/>
          <w:szCs w:val="18"/>
        </w:rPr>
      </w:pPr>
      <w:r w:rsidRPr="000A1C3F">
        <w:rPr>
          <w:sz w:val="18"/>
          <w:szCs w:val="18"/>
        </w:rPr>
        <w:t>0. Vocabulary inadequate even for the most basic parts of the intended communication.</w:t>
      </w:r>
    </w:p>
    <w:p w:rsidR="00F374B7" w:rsidRPr="000A1C3F" w:rsidRDefault="00F374B7" w:rsidP="00F374B7">
      <w:pPr>
        <w:spacing w:after="60"/>
        <w:ind w:left="720"/>
        <w:rPr>
          <w:sz w:val="18"/>
          <w:szCs w:val="18"/>
        </w:rPr>
      </w:pPr>
      <w:r w:rsidRPr="000A1C3F">
        <w:rPr>
          <w:sz w:val="18"/>
          <w:szCs w:val="18"/>
        </w:rPr>
        <w:t>1. Frequent inadequacies in vocabulary for the task. Perhaps frequent lexical inappropriacies and/or repetition.</w:t>
      </w:r>
    </w:p>
    <w:p w:rsidR="00F374B7" w:rsidRPr="000A1C3F" w:rsidRDefault="00F374B7" w:rsidP="00F374B7">
      <w:pPr>
        <w:spacing w:after="60"/>
        <w:ind w:left="720"/>
        <w:rPr>
          <w:sz w:val="18"/>
          <w:szCs w:val="18"/>
        </w:rPr>
      </w:pPr>
      <w:r w:rsidRPr="000A1C3F">
        <w:rPr>
          <w:sz w:val="18"/>
          <w:szCs w:val="18"/>
        </w:rPr>
        <w:t>2. Some inadequacies in vocabulary for the task. Perhaps some lexical inappropriacies and/or circumlocution.</w:t>
      </w:r>
    </w:p>
    <w:p w:rsidR="00F374B7" w:rsidRPr="000A1C3F" w:rsidRDefault="00F374B7" w:rsidP="00F374B7">
      <w:pPr>
        <w:ind w:left="720"/>
        <w:rPr>
          <w:sz w:val="18"/>
          <w:szCs w:val="18"/>
        </w:rPr>
      </w:pPr>
      <w:r w:rsidRPr="000A1C3F">
        <w:rPr>
          <w:sz w:val="18"/>
          <w:szCs w:val="18"/>
        </w:rPr>
        <w:t>3. Almost no inadequacies in vocabulary for the task. Only rare inappropriacies and/or circumlocution.</w:t>
      </w:r>
    </w:p>
    <w:p w:rsidR="00F374B7" w:rsidRPr="000A1C3F" w:rsidRDefault="00F374B7" w:rsidP="00F374B7">
      <w:pPr>
        <w:spacing w:after="60"/>
        <w:rPr>
          <w:sz w:val="18"/>
          <w:szCs w:val="18"/>
        </w:rPr>
      </w:pPr>
      <w:r w:rsidRPr="000A1C3F">
        <w:rPr>
          <w:sz w:val="18"/>
          <w:szCs w:val="18"/>
        </w:rPr>
        <w:t>E. Grammar</w:t>
      </w:r>
    </w:p>
    <w:p w:rsidR="00F374B7" w:rsidRPr="000A1C3F" w:rsidRDefault="00F374B7" w:rsidP="00F374B7">
      <w:pPr>
        <w:spacing w:after="60"/>
        <w:ind w:left="720"/>
        <w:rPr>
          <w:sz w:val="18"/>
          <w:szCs w:val="18"/>
        </w:rPr>
      </w:pPr>
      <w:r w:rsidRPr="000A1C3F">
        <w:rPr>
          <w:sz w:val="18"/>
          <w:szCs w:val="18"/>
        </w:rPr>
        <w:t>0. Almost all grammatical patterns inadequate.</w:t>
      </w:r>
    </w:p>
    <w:p w:rsidR="00F374B7" w:rsidRPr="000A1C3F" w:rsidRDefault="00F374B7" w:rsidP="00F374B7">
      <w:pPr>
        <w:spacing w:after="60"/>
        <w:ind w:left="720"/>
        <w:rPr>
          <w:sz w:val="18"/>
          <w:szCs w:val="18"/>
        </w:rPr>
      </w:pPr>
      <w:r w:rsidRPr="000A1C3F">
        <w:rPr>
          <w:sz w:val="18"/>
          <w:szCs w:val="18"/>
        </w:rPr>
        <w:t>1. Frequent grammatical inaccuracies.</w:t>
      </w:r>
    </w:p>
    <w:p w:rsidR="00F374B7" w:rsidRPr="000A1C3F" w:rsidRDefault="00F374B7" w:rsidP="00F374B7">
      <w:pPr>
        <w:spacing w:after="60"/>
        <w:ind w:left="720"/>
        <w:rPr>
          <w:sz w:val="18"/>
          <w:szCs w:val="18"/>
        </w:rPr>
      </w:pPr>
      <w:r w:rsidRPr="000A1C3F">
        <w:rPr>
          <w:sz w:val="18"/>
          <w:szCs w:val="18"/>
        </w:rPr>
        <w:t>2. Some grammatical inaccuracies.</w:t>
      </w:r>
    </w:p>
    <w:p w:rsidR="00F374B7" w:rsidRPr="000A1C3F" w:rsidRDefault="00F374B7" w:rsidP="00F374B7">
      <w:pPr>
        <w:ind w:left="720"/>
        <w:rPr>
          <w:sz w:val="18"/>
          <w:szCs w:val="18"/>
        </w:rPr>
      </w:pPr>
      <w:r w:rsidRPr="000A1C3F">
        <w:rPr>
          <w:sz w:val="18"/>
          <w:szCs w:val="18"/>
        </w:rPr>
        <w:t>3. Almost no grammatical inaccuracies.</w:t>
      </w:r>
    </w:p>
    <w:p w:rsidR="00F374B7" w:rsidRPr="000A1C3F" w:rsidRDefault="00F374B7" w:rsidP="00F374B7">
      <w:pPr>
        <w:spacing w:after="60"/>
        <w:rPr>
          <w:sz w:val="18"/>
          <w:szCs w:val="18"/>
        </w:rPr>
      </w:pPr>
      <w:r w:rsidRPr="000A1C3F">
        <w:rPr>
          <w:sz w:val="18"/>
          <w:szCs w:val="18"/>
        </w:rPr>
        <w:t>F. Mechanical accuracy I (punctuation)</w:t>
      </w:r>
    </w:p>
    <w:p w:rsidR="00F374B7" w:rsidRPr="000A1C3F" w:rsidRDefault="00F374B7" w:rsidP="00F374B7">
      <w:pPr>
        <w:spacing w:after="60"/>
        <w:ind w:left="720"/>
        <w:rPr>
          <w:sz w:val="18"/>
          <w:szCs w:val="18"/>
        </w:rPr>
      </w:pPr>
      <w:r w:rsidRPr="000A1C3F">
        <w:rPr>
          <w:sz w:val="18"/>
          <w:szCs w:val="18"/>
        </w:rPr>
        <w:t xml:space="preserve"> 0. Ignorance of conventions of punctuation.</w:t>
      </w:r>
    </w:p>
    <w:p w:rsidR="00F374B7" w:rsidRPr="000A1C3F" w:rsidRDefault="00F374B7" w:rsidP="00F374B7">
      <w:pPr>
        <w:spacing w:after="60"/>
        <w:ind w:left="720"/>
        <w:rPr>
          <w:sz w:val="18"/>
          <w:szCs w:val="18"/>
        </w:rPr>
      </w:pPr>
      <w:r w:rsidRPr="000A1C3F">
        <w:rPr>
          <w:sz w:val="18"/>
          <w:szCs w:val="18"/>
        </w:rPr>
        <w:t xml:space="preserve"> 1. Low standard of accuracy in punctuation.</w:t>
      </w:r>
    </w:p>
    <w:p w:rsidR="00F374B7" w:rsidRPr="000A1C3F" w:rsidRDefault="00F374B7" w:rsidP="00F374B7">
      <w:pPr>
        <w:spacing w:after="60"/>
        <w:ind w:left="720"/>
        <w:rPr>
          <w:sz w:val="18"/>
          <w:szCs w:val="18"/>
        </w:rPr>
      </w:pPr>
      <w:r w:rsidRPr="000A1C3F">
        <w:rPr>
          <w:sz w:val="18"/>
          <w:szCs w:val="18"/>
        </w:rPr>
        <w:t xml:space="preserve"> 2. Some inaccuracies in punctuation.</w:t>
      </w:r>
    </w:p>
    <w:p w:rsidR="00F374B7" w:rsidRPr="000A1C3F" w:rsidRDefault="00F374B7" w:rsidP="00F374B7">
      <w:pPr>
        <w:ind w:left="720"/>
        <w:rPr>
          <w:sz w:val="18"/>
          <w:szCs w:val="18"/>
        </w:rPr>
      </w:pPr>
      <w:r w:rsidRPr="000A1C3F">
        <w:rPr>
          <w:sz w:val="18"/>
          <w:szCs w:val="18"/>
        </w:rPr>
        <w:t xml:space="preserve"> 3. Almost no inaccuracies in punctuation.</w:t>
      </w:r>
    </w:p>
    <w:p w:rsidR="00F374B7" w:rsidRPr="000A1C3F" w:rsidRDefault="00F374B7" w:rsidP="00F374B7">
      <w:pPr>
        <w:spacing w:after="60"/>
        <w:rPr>
          <w:sz w:val="18"/>
          <w:szCs w:val="18"/>
        </w:rPr>
      </w:pPr>
      <w:r w:rsidRPr="000A1C3F">
        <w:rPr>
          <w:sz w:val="18"/>
          <w:szCs w:val="18"/>
        </w:rPr>
        <w:t>G. Mechanical accuracy II (spelling)</w:t>
      </w:r>
    </w:p>
    <w:p w:rsidR="00F374B7" w:rsidRPr="000A1C3F" w:rsidRDefault="00F374B7" w:rsidP="00F374B7">
      <w:pPr>
        <w:spacing w:after="60"/>
        <w:ind w:left="720"/>
        <w:rPr>
          <w:sz w:val="18"/>
          <w:szCs w:val="18"/>
        </w:rPr>
      </w:pPr>
      <w:r w:rsidRPr="000A1C3F">
        <w:rPr>
          <w:sz w:val="18"/>
          <w:szCs w:val="18"/>
        </w:rPr>
        <w:t>0. Almost all spelling inaccurate.</w:t>
      </w:r>
    </w:p>
    <w:p w:rsidR="00F374B7" w:rsidRPr="000A1C3F" w:rsidRDefault="00F374B7" w:rsidP="00F374B7">
      <w:pPr>
        <w:spacing w:after="60"/>
        <w:ind w:left="720"/>
        <w:rPr>
          <w:sz w:val="18"/>
          <w:szCs w:val="18"/>
        </w:rPr>
      </w:pPr>
      <w:r w:rsidRPr="000A1C3F">
        <w:rPr>
          <w:sz w:val="18"/>
          <w:szCs w:val="18"/>
        </w:rPr>
        <w:t>1. Low standard of accuracy in spelling.</w:t>
      </w:r>
    </w:p>
    <w:p w:rsidR="00F374B7" w:rsidRPr="000A1C3F" w:rsidRDefault="00F374B7" w:rsidP="00F374B7">
      <w:pPr>
        <w:spacing w:after="60"/>
        <w:ind w:left="720"/>
        <w:rPr>
          <w:sz w:val="18"/>
          <w:szCs w:val="18"/>
        </w:rPr>
      </w:pPr>
      <w:r w:rsidRPr="000A1C3F">
        <w:rPr>
          <w:sz w:val="18"/>
          <w:szCs w:val="18"/>
        </w:rPr>
        <w:t>2. Some inaccuracies in spelling.</w:t>
      </w:r>
    </w:p>
    <w:p w:rsidR="00F374B7" w:rsidRPr="000A1C3F" w:rsidRDefault="00F374B7" w:rsidP="00F374B7">
      <w:pPr>
        <w:ind w:left="720"/>
        <w:rPr>
          <w:sz w:val="18"/>
          <w:szCs w:val="18"/>
        </w:rPr>
      </w:pPr>
      <w:r w:rsidRPr="000A1C3F">
        <w:rPr>
          <w:sz w:val="18"/>
          <w:szCs w:val="18"/>
        </w:rPr>
        <w:t>3. Almost no inaccuracies in spelling</w:t>
      </w:r>
    </w:p>
    <w:p w:rsidR="00F374B7" w:rsidRDefault="00F374B7" w:rsidP="00F374B7">
      <w:r w:rsidRPr="000A1C3F">
        <w:rPr>
          <w:sz w:val="18"/>
          <w:szCs w:val="18"/>
        </w:rPr>
        <w:tab/>
      </w:r>
      <w:r w:rsidRPr="000A1C3F">
        <w:rPr>
          <w:sz w:val="18"/>
          <w:szCs w:val="18"/>
        </w:rPr>
        <w:tab/>
        <w:t>Total (21 marks, approximately 20)</w:t>
      </w:r>
      <w:r>
        <w:br w:type="page"/>
      </w:r>
    </w:p>
    <w:p w:rsidR="00F374B7" w:rsidRPr="0015606B" w:rsidRDefault="00F374B7" w:rsidP="00F374B7">
      <w:pPr>
        <w:pStyle w:val="Heading5"/>
      </w:pPr>
      <w:r w:rsidRPr="0015606B">
        <w:lastRenderedPageBreak/>
        <w:t>Appendix B</w:t>
      </w:r>
    </w:p>
    <w:p w:rsidR="00F374B7" w:rsidRPr="0015606B" w:rsidRDefault="00F374B7" w:rsidP="00F374B7">
      <w:pPr>
        <w:pStyle w:val="Heading1"/>
      </w:pPr>
      <w:r w:rsidRPr="0015606B">
        <w:t>Post Instruction Perception Questionnaire</w:t>
      </w:r>
    </w:p>
    <w:p w:rsidR="00F374B7" w:rsidRPr="0015606B" w:rsidRDefault="00F374B7" w:rsidP="00F374B7">
      <w:pPr>
        <w:pStyle w:val="Heading5"/>
      </w:pPr>
      <w:r w:rsidRPr="0015606B">
        <w:t>(</w:t>
      </w:r>
      <w:r>
        <w:t>C</w:t>
      </w:r>
      <w:r w:rsidRPr="0015606B">
        <w:t>huo, 2007)</w:t>
      </w:r>
    </w:p>
    <w:p w:rsidR="00F374B7" w:rsidRDefault="00F374B7" w:rsidP="00F374B7">
      <w:r w:rsidRPr="00AF618C">
        <w:rPr>
          <w:rFonts w:asciiTheme="majorBidi" w:hAnsiTheme="majorBidi" w:cstheme="majorBidi"/>
          <w:noProof/>
          <w:sz w:val="24"/>
          <w:szCs w:val="24"/>
        </w:rPr>
        <w:drawing>
          <wp:inline distT="0" distB="0" distL="0" distR="0" wp14:anchorId="0F52CF68" wp14:editId="76EB920F">
            <wp:extent cx="3854275" cy="3785937"/>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5326" cy="3806614"/>
                    </a:xfrm>
                    <a:prstGeom prst="rect">
                      <a:avLst/>
                    </a:prstGeom>
                    <a:noFill/>
                    <a:ln>
                      <a:noFill/>
                    </a:ln>
                  </pic:spPr>
                </pic:pic>
              </a:graphicData>
            </a:graphic>
          </wp:inline>
        </w:drawing>
      </w:r>
    </w:p>
    <w:p w:rsidR="00F374B7" w:rsidRDefault="00F374B7" w:rsidP="00F374B7">
      <w:r w:rsidRPr="00AF618C">
        <w:rPr>
          <w:rFonts w:asciiTheme="majorBidi" w:hAnsiTheme="majorBidi" w:cstheme="majorBidi"/>
          <w:noProof/>
          <w:sz w:val="24"/>
          <w:szCs w:val="24"/>
        </w:rPr>
        <w:drawing>
          <wp:inline distT="0" distB="0" distL="0" distR="0" wp14:anchorId="464F3C04" wp14:editId="68BE34F3">
            <wp:extent cx="3684566" cy="3617495"/>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0341" cy="3652619"/>
                    </a:xfrm>
                    <a:prstGeom prst="rect">
                      <a:avLst/>
                    </a:prstGeom>
                    <a:noFill/>
                    <a:ln>
                      <a:noFill/>
                    </a:ln>
                  </pic:spPr>
                </pic:pic>
              </a:graphicData>
            </a:graphic>
          </wp:inline>
        </w:drawing>
      </w:r>
      <w:r>
        <w:br w:type="page"/>
      </w:r>
    </w:p>
    <w:p w:rsidR="00F374B7" w:rsidRPr="0015606B" w:rsidRDefault="00F374B7" w:rsidP="00F374B7">
      <w:pPr>
        <w:pStyle w:val="Heading5"/>
      </w:pPr>
      <w:r w:rsidRPr="0015606B">
        <w:lastRenderedPageBreak/>
        <w:t>Appendix C</w:t>
      </w:r>
    </w:p>
    <w:p w:rsidR="00F374B7" w:rsidRPr="00027068" w:rsidRDefault="00F374B7" w:rsidP="00F374B7">
      <w:pPr>
        <w:pStyle w:val="Heading1"/>
        <w:rPr>
          <w:sz w:val="28"/>
          <w:szCs w:val="28"/>
        </w:rPr>
      </w:pPr>
      <w:r w:rsidRPr="00027068">
        <w:rPr>
          <w:sz w:val="28"/>
          <w:szCs w:val="28"/>
        </w:rPr>
        <w:t xml:space="preserve">Save your sport </w:t>
      </w:r>
    </w:p>
    <w:p w:rsidR="00F374B7" w:rsidRPr="00027068" w:rsidRDefault="00F374B7" w:rsidP="00F374B7">
      <w:pPr>
        <w:pStyle w:val="Heading5"/>
        <w:rPr>
          <w:sz w:val="18"/>
          <w:szCs w:val="18"/>
        </w:rPr>
      </w:pPr>
      <w:r w:rsidRPr="00027068">
        <w:rPr>
          <w:sz w:val="18"/>
          <w:szCs w:val="18"/>
        </w:rPr>
        <w:t>by Lorna Maudslay, Lamar University</w:t>
      </w:r>
    </w:p>
    <w:p w:rsidR="00F374B7" w:rsidRPr="001450F1" w:rsidRDefault="00F374B7" w:rsidP="00F374B7">
      <w:pPr>
        <w:pStyle w:val="Heading3"/>
      </w:pPr>
      <w:r w:rsidRPr="001450F1">
        <w:t>Introduction</w:t>
      </w:r>
    </w:p>
    <w:p w:rsidR="00F374B7" w:rsidRPr="0015606B" w:rsidRDefault="00F374B7" w:rsidP="00F374B7">
      <w:r w:rsidRPr="0015606B">
        <w:t>Sports are very popular all around the world. They can be played for fun, competition, and at the highest level can played for a living. People not only play sports to lead an active, healthy lifestyle but also enjoy being a sport spectator. However, several people dismiss the importance of sports. It’s your job to prove them wrong.</w:t>
      </w:r>
    </w:p>
    <w:p w:rsidR="00F374B7" w:rsidRPr="0015606B" w:rsidRDefault="00F374B7" w:rsidP="00F374B7">
      <w:r w:rsidRPr="0015606B">
        <w:t>Save your sport!</w:t>
      </w:r>
    </w:p>
    <w:p w:rsidR="00F374B7" w:rsidRPr="001450F1" w:rsidRDefault="00F374B7" w:rsidP="00F374B7">
      <w:pPr>
        <w:pStyle w:val="Heading3"/>
      </w:pPr>
      <w:r w:rsidRPr="001450F1">
        <w:t>Task</w:t>
      </w:r>
    </w:p>
    <w:p w:rsidR="00F374B7" w:rsidRPr="0015606B" w:rsidRDefault="00F374B7" w:rsidP="00F374B7">
      <w:r w:rsidRPr="0015606B">
        <w:t>With many people</w:t>
      </w:r>
      <w:r>
        <w:t xml:space="preserve"> </w:t>
      </w:r>
      <w:r w:rsidRPr="0015606B">
        <w:t>undermining</w:t>
      </w:r>
      <w:r>
        <w:t xml:space="preserve"> </w:t>
      </w:r>
      <w:r w:rsidRPr="0015606B">
        <w:t>the importance of sports, and many people advocating for physical education to be removed from the</w:t>
      </w:r>
      <w:r>
        <w:t xml:space="preserve"> </w:t>
      </w:r>
      <w:r w:rsidRPr="0015606B">
        <w:t>curriculum, it is your task to prove the importance of sports.</w:t>
      </w:r>
      <w:r>
        <w:t xml:space="preserve"> </w:t>
      </w:r>
    </w:p>
    <w:p w:rsidR="00F374B7" w:rsidRPr="0015606B" w:rsidRDefault="00F374B7" w:rsidP="00F374B7">
      <w:r w:rsidRPr="0015606B">
        <w:t>In simple terms, 'Save your Sport'</w:t>
      </w:r>
    </w:p>
    <w:p w:rsidR="00F374B7" w:rsidRPr="0015606B" w:rsidRDefault="00F374B7" w:rsidP="00F374B7">
      <w:r w:rsidRPr="0015606B">
        <w:t>So, your task is to create a brochure that highlights the physical, social and emotional benefits that your sport provides.</w:t>
      </w:r>
      <w:r>
        <w:t xml:space="preserve"> </w:t>
      </w:r>
      <w:r w:rsidRPr="0015606B">
        <w:t>In order to provide the reader with some background knowledge of your sport you should include information pertaining to the history and the rules of the sport. You should also find a professional athlete that represents your sport and include their picture on your</w:t>
      </w:r>
      <w:r>
        <w:t xml:space="preserve"> </w:t>
      </w:r>
      <w:r w:rsidRPr="0015606B">
        <w:t>brochure.</w:t>
      </w:r>
    </w:p>
    <w:p w:rsidR="00F374B7" w:rsidRPr="0015606B" w:rsidRDefault="00F374B7" w:rsidP="00F374B7">
      <w:r w:rsidRPr="0015606B">
        <w:t>'On your marks, get set, GO!'</w:t>
      </w:r>
    </w:p>
    <w:p w:rsidR="00F374B7" w:rsidRPr="001450F1" w:rsidRDefault="00F374B7" w:rsidP="00F374B7">
      <w:pPr>
        <w:pStyle w:val="Heading3"/>
      </w:pPr>
      <w:r w:rsidRPr="001450F1">
        <w:t>Process</w:t>
      </w:r>
    </w:p>
    <w:p w:rsidR="00F374B7" w:rsidRPr="0015606B" w:rsidRDefault="00F374B7" w:rsidP="00F374B7">
      <w:r w:rsidRPr="0015606B">
        <w:t>Where to start?</w:t>
      </w:r>
    </w:p>
    <w:p w:rsidR="00F374B7" w:rsidRPr="0015606B" w:rsidRDefault="00F374B7" w:rsidP="00F374B7">
      <w:r w:rsidRPr="0015606B">
        <w:t>Firstly, you'll need to pick the sport that wish to save. This can be selected from the following website:</w:t>
      </w:r>
    </w:p>
    <w:p w:rsidR="00F374B7" w:rsidRPr="0015606B" w:rsidRDefault="00F374B7" w:rsidP="00F374B7">
      <w:r w:rsidRPr="0015606B">
        <w:t>Select your sport</w:t>
      </w:r>
    </w:p>
    <w:p w:rsidR="00F374B7" w:rsidRDefault="00F374B7" w:rsidP="00F374B7">
      <w:pPr>
        <w:pStyle w:val="Heading3"/>
      </w:pPr>
      <w:r>
        <w:t>Next</w:t>
      </w:r>
      <w:r w:rsidRPr="0015606B">
        <w:t xml:space="preserve"> </w:t>
      </w:r>
    </w:p>
    <w:p w:rsidR="00F374B7" w:rsidRPr="0015606B" w:rsidRDefault="00F374B7" w:rsidP="00F374B7">
      <w:r w:rsidRPr="0015606B">
        <w:t xml:space="preserve">You'll need to find some information about the history and the rules of your chosen sport. </w:t>
      </w:r>
    </w:p>
    <w:p w:rsidR="00F374B7" w:rsidRPr="0015606B" w:rsidRDefault="00F374B7" w:rsidP="00F374B7">
      <w:r w:rsidRPr="0015606B">
        <w:t>After you have established the rules and history of your sport, you need to select some of the health, social and emotional benefits of playing your sport. Here are a few examples of websites that you can use.</w:t>
      </w:r>
    </w:p>
    <w:p w:rsidR="00F374B7" w:rsidRPr="0015606B" w:rsidRDefault="00F374B7" w:rsidP="00F374B7">
      <w:pPr>
        <w:ind w:left="360"/>
      </w:pPr>
      <w:r w:rsidRPr="0015606B">
        <w:t>1.</w:t>
      </w:r>
      <w:r>
        <w:t xml:space="preserve"> </w:t>
      </w:r>
      <w:r w:rsidRPr="0015606B">
        <w:t>Health Benefits, Physical Benefits of Sport Emotional Benefits</w:t>
      </w:r>
    </w:p>
    <w:p w:rsidR="00F374B7" w:rsidRPr="0015606B" w:rsidRDefault="00F374B7" w:rsidP="00F374B7">
      <w:pPr>
        <w:ind w:left="360"/>
      </w:pPr>
      <w:r w:rsidRPr="0015606B">
        <w:t>2.</w:t>
      </w:r>
      <w:r>
        <w:t xml:space="preserve"> </w:t>
      </w:r>
      <w:r w:rsidRPr="0015606B">
        <w:t>Emotional Benefits</w:t>
      </w:r>
    </w:p>
    <w:p w:rsidR="00F374B7" w:rsidRPr="0015606B" w:rsidRDefault="00F374B7" w:rsidP="00F374B7">
      <w:pPr>
        <w:ind w:left="360"/>
      </w:pPr>
      <w:r w:rsidRPr="0015606B">
        <w:t>3.</w:t>
      </w:r>
      <w:r>
        <w:t xml:space="preserve"> </w:t>
      </w:r>
      <w:r w:rsidRPr="0015606B">
        <w:t>Social Butterflies</w:t>
      </w:r>
    </w:p>
    <w:p w:rsidR="00F374B7" w:rsidRPr="0015606B" w:rsidRDefault="00F374B7" w:rsidP="00F374B7">
      <w:r w:rsidRPr="0015606B">
        <w:t>You will then find a professional athlete that represents your sport and include their picture to your brochure.</w:t>
      </w:r>
    </w:p>
    <w:p w:rsidR="00F374B7" w:rsidRDefault="00F374B7" w:rsidP="00F374B7">
      <w:pPr>
        <w:pStyle w:val="Heading3"/>
      </w:pPr>
      <w:r w:rsidRPr="001450F1">
        <w:lastRenderedPageBreak/>
        <w:t>Finally</w:t>
      </w:r>
    </w:p>
    <w:p w:rsidR="00F374B7" w:rsidRDefault="00F374B7" w:rsidP="00F374B7">
      <w:pPr>
        <w:pStyle w:val="ListParagraph"/>
        <w:numPr>
          <w:ilvl w:val="0"/>
          <w:numId w:val="45"/>
        </w:numPr>
      </w:pPr>
      <w:r w:rsidRPr="0015606B">
        <w:t>you are one step away from the finish line. In order to finish the race you will compress all the information that you have found and organize the information into a brochure that advertises your sport.</w:t>
      </w:r>
    </w:p>
    <w:p w:rsidR="00F374B7" w:rsidRDefault="00F374B7" w:rsidP="00F374B7">
      <w:r w:rsidRPr="00AF618C">
        <w:rPr>
          <w:rFonts w:ascii="Georgia" w:hAnsi="Georgia"/>
          <w:noProof/>
          <w:color w:val="403010"/>
          <w:sz w:val="24"/>
          <w:szCs w:val="24"/>
        </w:rPr>
        <w:drawing>
          <wp:inline distT="0" distB="0" distL="0" distR="0" wp14:anchorId="640243C3" wp14:editId="45EE88D9">
            <wp:extent cx="4182610" cy="2393004"/>
            <wp:effectExtent l="0" t="0" r="8890" b="7620"/>
            <wp:docPr id="19" name="Picture 19" descr="http://questgarden.com/151/91/3/121124101442/images/Sports%20webqu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questgarden.com/151/91/3/121124101442/images/Sports%20webquest.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6072" cy="2400706"/>
                    </a:xfrm>
                    <a:prstGeom prst="rect">
                      <a:avLst/>
                    </a:prstGeom>
                    <a:noFill/>
                    <a:ln>
                      <a:noFill/>
                    </a:ln>
                  </pic:spPr>
                </pic:pic>
              </a:graphicData>
            </a:graphic>
          </wp:inline>
        </w:drawing>
      </w:r>
    </w:p>
    <w:p w:rsidR="00F374B7" w:rsidRDefault="00F374B7" w:rsidP="00F374B7">
      <w:r w:rsidRPr="00AF618C">
        <w:rPr>
          <w:rFonts w:ascii="Georgia" w:hAnsi="Georgia"/>
          <w:b/>
          <w:bCs/>
          <w:noProof/>
          <w:color w:val="8040C0"/>
          <w:sz w:val="24"/>
          <w:szCs w:val="24"/>
          <w:shd w:val="clear" w:color="auto" w:fill="404040"/>
        </w:rPr>
        <w:drawing>
          <wp:inline distT="0" distB="0" distL="0" distR="0" wp14:anchorId="6B04D415" wp14:editId="33490F02">
            <wp:extent cx="4181496" cy="4787153"/>
            <wp:effectExtent l="0" t="0" r="0" b="0"/>
            <wp:docPr id="18" name="Picture 18" descr="http://questgarden.com/151/91/3/121124101442/images/sportsweb.jpg">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questgarden.com/151/91/3/121124101442/images/sportsweb.jpg">
                      <a:hlinkClick r:id="rId32"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5519" cy="4974934"/>
                    </a:xfrm>
                    <a:prstGeom prst="rect">
                      <a:avLst/>
                    </a:prstGeom>
                    <a:noFill/>
                    <a:ln>
                      <a:noFill/>
                    </a:ln>
                  </pic:spPr>
                </pic:pic>
              </a:graphicData>
            </a:graphic>
          </wp:inline>
        </w:drawing>
      </w:r>
    </w:p>
    <w:p w:rsidR="00F374B7" w:rsidRPr="001450F1" w:rsidRDefault="00F374B7" w:rsidP="00F374B7">
      <w:pPr>
        <w:pStyle w:val="Heading3"/>
      </w:pPr>
      <w:r w:rsidRPr="001450F1">
        <w:lastRenderedPageBreak/>
        <w:t>Evaluation</w:t>
      </w:r>
    </w:p>
    <w:p w:rsidR="00F374B7" w:rsidRPr="0015606B" w:rsidRDefault="00F374B7" w:rsidP="00F374B7">
      <w:r w:rsidRPr="0015606B">
        <w:t>This is how your work will be evaluated.</w:t>
      </w:r>
    </w:p>
    <w:tbl>
      <w:tblPr>
        <w:tblW w:w="5021"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237"/>
        <w:gridCol w:w="1616"/>
        <w:gridCol w:w="1699"/>
        <w:gridCol w:w="1609"/>
        <w:gridCol w:w="1841"/>
        <w:gridCol w:w="658"/>
      </w:tblGrid>
      <w:tr w:rsidR="00F374B7" w:rsidRPr="003140E1" w:rsidTr="008C589D">
        <w:trPr>
          <w:trHeight w:val="300"/>
          <w:tblCellSpacing w:w="0" w:type="dxa"/>
        </w:trPr>
        <w:tc>
          <w:tcPr>
            <w:tcW w:w="714"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0" w:after="0"/>
              <w:jc w:val="center"/>
              <w:rPr>
                <w:rFonts w:ascii="Arial" w:hAnsi="Arial" w:cs="Arial"/>
                <w:b/>
                <w:bCs/>
                <w:color w:val="000000"/>
                <w:sz w:val="16"/>
                <w:szCs w:val="16"/>
              </w:rPr>
            </w:pPr>
          </w:p>
        </w:tc>
        <w:tc>
          <w:tcPr>
            <w:tcW w:w="933" w:type="pct"/>
            <w:tcBorders>
              <w:top w:val="outset" w:sz="6" w:space="0" w:color="auto"/>
              <w:left w:val="outset" w:sz="6" w:space="0" w:color="auto"/>
              <w:bottom w:val="outset" w:sz="6" w:space="0" w:color="auto"/>
              <w:right w:val="outset" w:sz="6" w:space="0" w:color="auto"/>
            </w:tcBorders>
            <w:shd w:val="clear" w:color="auto" w:fill="FF9999"/>
            <w:vAlign w:val="center"/>
            <w:hideMark/>
          </w:tcPr>
          <w:p w:rsidR="00F374B7" w:rsidRPr="003140E1" w:rsidRDefault="00F374B7" w:rsidP="008C589D">
            <w:pPr>
              <w:spacing w:before="0" w:after="0"/>
              <w:jc w:val="center"/>
              <w:rPr>
                <w:rFonts w:ascii="Arial" w:hAnsi="Arial" w:cs="Arial"/>
                <w:b/>
                <w:bCs/>
                <w:color w:val="000000"/>
                <w:sz w:val="16"/>
                <w:szCs w:val="16"/>
              </w:rPr>
            </w:pPr>
            <w:r w:rsidRPr="003140E1">
              <w:rPr>
                <w:rFonts w:ascii="Arial" w:hAnsi="Arial" w:cs="Arial"/>
                <w:b/>
                <w:bCs/>
                <w:color w:val="000000"/>
                <w:sz w:val="16"/>
                <w:szCs w:val="16"/>
              </w:rPr>
              <w:t>Beginning</w:t>
            </w:r>
            <w:r w:rsidRPr="003140E1">
              <w:rPr>
                <w:rFonts w:ascii="Arial" w:hAnsi="Arial" w:cs="Arial"/>
                <w:b/>
                <w:bCs/>
                <w:color w:val="000000"/>
                <w:sz w:val="16"/>
                <w:szCs w:val="16"/>
              </w:rPr>
              <w:br/>
              <w:t>1</w:t>
            </w:r>
          </w:p>
        </w:tc>
        <w:tc>
          <w:tcPr>
            <w:tcW w:w="981"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F374B7" w:rsidRPr="003140E1" w:rsidRDefault="00F374B7" w:rsidP="008C589D">
            <w:pPr>
              <w:spacing w:before="0" w:after="0"/>
              <w:jc w:val="center"/>
              <w:rPr>
                <w:rFonts w:ascii="Arial" w:hAnsi="Arial" w:cs="Arial"/>
                <w:b/>
                <w:bCs/>
                <w:color w:val="000000"/>
                <w:sz w:val="16"/>
                <w:szCs w:val="16"/>
              </w:rPr>
            </w:pPr>
            <w:r w:rsidRPr="003140E1">
              <w:rPr>
                <w:rFonts w:ascii="Arial" w:hAnsi="Arial" w:cs="Arial"/>
                <w:b/>
                <w:bCs/>
                <w:color w:val="000000"/>
                <w:sz w:val="16"/>
                <w:szCs w:val="16"/>
              </w:rPr>
              <w:t>Developing</w:t>
            </w:r>
            <w:r w:rsidRPr="003140E1">
              <w:rPr>
                <w:rFonts w:ascii="Arial" w:hAnsi="Arial" w:cs="Arial"/>
                <w:b/>
                <w:bCs/>
                <w:color w:val="000000"/>
                <w:sz w:val="16"/>
                <w:szCs w:val="16"/>
              </w:rPr>
              <w:br/>
              <w:t>2</w:t>
            </w:r>
          </w:p>
        </w:tc>
        <w:tc>
          <w:tcPr>
            <w:tcW w:w="92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F374B7" w:rsidRPr="003140E1" w:rsidRDefault="00F374B7" w:rsidP="008C589D">
            <w:pPr>
              <w:spacing w:before="0" w:after="0"/>
              <w:jc w:val="center"/>
              <w:rPr>
                <w:rFonts w:ascii="Arial" w:hAnsi="Arial" w:cs="Arial"/>
                <w:b/>
                <w:bCs/>
                <w:color w:val="000000"/>
                <w:sz w:val="16"/>
                <w:szCs w:val="16"/>
              </w:rPr>
            </w:pPr>
            <w:r w:rsidRPr="003140E1">
              <w:rPr>
                <w:rFonts w:ascii="Arial" w:hAnsi="Arial" w:cs="Arial"/>
                <w:b/>
                <w:bCs/>
                <w:color w:val="000000"/>
                <w:sz w:val="16"/>
                <w:szCs w:val="16"/>
              </w:rPr>
              <w:t>Qualified</w:t>
            </w:r>
            <w:r w:rsidRPr="003140E1">
              <w:rPr>
                <w:rFonts w:ascii="Arial" w:hAnsi="Arial" w:cs="Arial"/>
                <w:b/>
                <w:bCs/>
                <w:color w:val="000000"/>
                <w:sz w:val="16"/>
                <w:szCs w:val="16"/>
              </w:rPr>
              <w:br/>
              <w:t>3</w:t>
            </w:r>
          </w:p>
        </w:tc>
        <w:tc>
          <w:tcPr>
            <w:tcW w:w="1063" w:type="pct"/>
            <w:tcBorders>
              <w:top w:val="outset" w:sz="6" w:space="0" w:color="auto"/>
              <w:left w:val="outset" w:sz="6" w:space="0" w:color="auto"/>
              <w:bottom w:val="outset" w:sz="6" w:space="0" w:color="auto"/>
              <w:right w:val="outset" w:sz="6" w:space="0" w:color="auto"/>
            </w:tcBorders>
            <w:shd w:val="clear" w:color="auto" w:fill="CCFFCC"/>
            <w:vAlign w:val="center"/>
            <w:hideMark/>
          </w:tcPr>
          <w:p w:rsidR="00F374B7" w:rsidRPr="003140E1" w:rsidRDefault="00F374B7" w:rsidP="008C589D">
            <w:pPr>
              <w:spacing w:before="0" w:after="0"/>
              <w:jc w:val="center"/>
              <w:rPr>
                <w:rFonts w:ascii="Arial" w:hAnsi="Arial" w:cs="Arial"/>
                <w:b/>
                <w:bCs/>
                <w:color w:val="000000"/>
                <w:sz w:val="16"/>
                <w:szCs w:val="16"/>
              </w:rPr>
            </w:pPr>
            <w:r w:rsidRPr="003140E1">
              <w:rPr>
                <w:rFonts w:ascii="Arial" w:hAnsi="Arial" w:cs="Arial"/>
                <w:b/>
                <w:bCs/>
                <w:color w:val="000000"/>
                <w:sz w:val="16"/>
                <w:szCs w:val="16"/>
              </w:rPr>
              <w:t>Exemplary</w:t>
            </w:r>
            <w:r w:rsidRPr="003140E1">
              <w:rPr>
                <w:rFonts w:ascii="Arial" w:hAnsi="Arial" w:cs="Arial"/>
                <w:b/>
                <w:bCs/>
                <w:color w:val="000000"/>
                <w:sz w:val="16"/>
                <w:szCs w:val="16"/>
              </w:rPr>
              <w:br/>
              <w:t>4</w:t>
            </w:r>
          </w:p>
        </w:tc>
        <w:tc>
          <w:tcPr>
            <w:tcW w:w="380" w:type="pct"/>
            <w:tcBorders>
              <w:top w:val="outset" w:sz="6" w:space="0" w:color="auto"/>
              <w:left w:val="outset" w:sz="6" w:space="0" w:color="auto"/>
              <w:bottom w:val="outset" w:sz="6" w:space="0" w:color="auto"/>
              <w:right w:val="outset" w:sz="6" w:space="0" w:color="auto"/>
            </w:tcBorders>
            <w:shd w:val="clear" w:color="auto" w:fill="CCCCFF"/>
            <w:vAlign w:val="center"/>
            <w:hideMark/>
          </w:tcPr>
          <w:p w:rsidR="00F374B7" w:rsidRPr="003140E1" w:rsidRDefault="00F374B7" w:rsidP="008C589D">
            <w:pPr>
              <w:spacing w:before="0" w:after="0"/>
              <w:jc w:val="center"/>
              <w:rPr>
                <w:rFonts w:ascii="Arial" w:hAnsi="Arial" w:cs="Arial"/>
                <w:b/>
                <w:bCs/>
                <w:color w:val="000000"/>
                <w:sz w:val="16"/>
                <w:szCs w:val="16"/>
              </w:rPr>
            </w:pPr>
            <w:r w:rsidRPr="003140E1">
              <w:rPr>
                <w:rFonts w:ascii="Arial" w:hAnsi="Arial" w:cs="Arial"/>
                <w:b/>
                <w:bCs/>
                <w:color w:val="000000"/>
                <w:sz w:val="16"/>
                <w:szCs w:val="16"/>
              </w:rPr>
              <w:t>Score</w:t>
            </w:r>
          </w:p>
        </w:tc>
      </w:tr>
      <w:tr w:rsidR="00F374B7" w:rsidRPr="003140E1" w:rsidTr="008C589D">
        <w:trPr>
          <w:trHeight w:val="48"/>
          <w:tblCellSpacing w:w="0" w:type="dxa"/>
        </w:trPr>
        <w:tc>
          <w:tcPr>
            <w:tcW w:w="714"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F374B7" w:rsidRPr="003140E1" w:rsidRDefault="00F374B7" w:rsidP="008C589D">
            <w:pPr>
              <w:spacing w:before="20" w:after="20"/>
              <w:rPr>
                <w:rFonts w:ascii="Arial" w:hAnsi="Arial" w:cs="Arial"/>
                <w:b/>
                <w:bCs/>
                <w:color w:val="000000"/>
                <w:sz w:val="16"/>
                <w:szCs w:val="16"/>
              </w:rPr>
            </w:pPr>
            <w:r w:rsidRPr="003140E1">
              <w:rPr>
                <w:rFonts w:ascii="Arial" w:hAnsi="Arial" w:cs="Arial"/>
                <w:b/>
                <w:bCs/>
                <w:color w:val="000000"/>
                <w:sz w:val="16"/>
                <w:szCs w:val="16"/>
              </w:rPr>
              <w:t>Overall Effort</w:t>
            </w:r>
          </w:p>
        </w:tc>
        <w:tc>
          <w:tcPr>
            <w:tcW w:w="933"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000000"/>
                <w:sz w:val="16"/>
                <w:szCs w:val="16"/>
              </w:rPr>
              <w:t>The brochure was turned in with some parts incomplete or missing.</w:t>
            </w:r>
          </w:p>
        </w:tc>
        <w:tc>
          <w:tcPr>
            <w:tcW w:w="981"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The brochure was completed to a satisfactory level.</w:t>
            </w:r>
          </w:p>
        </w:tc>
        <w:tc>
          <w:tcPr>
            <w:tcW w:w="929"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The brochure was completed to a good standard showing most of the</w:t>
            </w:r>
            <w:r>
              <w:rPr>
                <w:rFonts w:ascii="Arial" w:hAnsi="Arial" w:cs="Arial"/>
                <w:color w:val="403010"/>
                <w:sz w:val="16"/>
                <w:szCs w:val="16"/>
              </w:rPr>
              <w:t xml:space="preserve"> </w:t>
            </w:r>
            <w:r w:rsidRPr="003140E1">
              <w:rPr>
                <w:rFonts w:ascii="Arial" w:hAnsi="Arial" w:cs="Arial"/>
                <w:color w:val="403010"/>
                <w:sz w:val="16"/>
                <w:szCs w:val="16"/>
              </w:rPr>
              <w:t>requirements.</w:t>
            </w:r>
          </w:p>
        </w:tc>
        <w:tc>
          <w:tcPr>
            <w:tcW w:w="1063"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 xml:space="preserve">The brochure was completed to a high standard, and included all </w:t>
            </w:r>
            <w:r>
              <w:rPr>
                <w:rFonts w:ascii="Arial" w:hAnsi="Arial" w:cs="Arial"/>
                <w:color w:val="403010"/>
                <w:sz w:val="16"/>
                <w:szCs w:val="16"/>
              </w:rPr>
              <w:t>stated</w:t>
            </w:r>
            <w:r w:rsidRPr="003140E1">
              <w:rPr>
                <w:rFonts w:ascii="Arial" w:hAnsi="Arial" w:cs="Arial"/>
                <w:color w:val="403010"/>
                <w:sz w:val="16"/>
                <w:szCs w:val="16"/>
              </w:rPr>
              <w:t xml:space="preserve"> requirements</w:t>
            </w:r>
          </w:p>
        </w:tc>
        <w:tc>
          <w:tcPr>
            <w:tcW w:w="380"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p>
        </w:tc>
      </w:tr>
      <w:tr w:rsidR="00F374B7" w:rsidRPr="003140E1" w:rsidTr="008C589D">
        <w:trPr>
          <w:trHeight w:val="918"/>
          <w:tblCellSpacing w:w="0" w:type="dxa"/>
        </w:trPr>
        <w:tc>
          <w:tcPr>
            <w:tcW w:w="714"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F374B7" w:rsidRPr="003140E1" w:rsidRDefault="00F374B7" w:rsidP="008C589D">
            <w:pPr>
              <w:spacing w:before="20" w:after="20"/>
              <w:rPr>
                <w:rFonts w:ascii="Arial" w:hAnsi="Arial" w:cs="Arial"/>
                <w:b/>
                <w:bCs/>
                <w:color w:val="000000"/>
                <w:sz w:val="16"/>
                <w:szCs w:val="16"/>
              </w:rPr>
            </w:pPr>
            <w:r w:rsidRPr="003140E1">
              <w:rPr>
                <w:rFonts w:ascii="Arial" w:hAnsi="Arial" w:cs="Arial"/>
                <w:b/>
                <w:bCs/>
                <w:color w:val="000000"/>
                <w:sz w:val="16"/>
                <w:szCs w:val="16"/>
              </w:rPr>
              <w:t>Spelling and Grammar</w:t>
            </w:r>
          </w:p>
        </w:tc>
        <w:tc>
          <w:tcPr>
            <w:tcW w:w="933"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Spelling and grammar errors distracted readers from focusing on the content.</w:t>
            </w:r>
          </w:p>
        </w:tc>
        <w:tc>
          <w:tcPr>
            <w:tcW w:w="981"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Multiple but subtle spelling and grammar mistakes were made.</w:t>
            </w:r>
          </w:p>
        </w:tc>
        <w:tc>
          <w:tcPr>
            <w:tcW w:w="929"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Only a handful of spelling mistakes and grammatical errors were present.</w:t>
            </w:r>
          </w:p>
        </w:tc>
        <w:tc>
          <w:tcPr>
            <w:tcW w:w="1063"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Contains few if any spelling mistakes and grammatical errors.</w:t>
            </w:r>
          </w:p>
        </w:tc>
        <w:tc>
          <w:tcPr>
            <w:tcW w:w="380"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p>
        </w:tc>
      </w:tr>
      <w:tr w:rsidR="00F374B7" w:rsidRPr="003140E1" w:rsidTr="008C589D">
        <w:trPr>
          <w:trHeight w:val="48"/>
          <w:tblCellSpacing w:w="0" w:type="dxa"/>
        </w:trPr>
        <w:tc>
          <w:tcPr>
            <w:tcW w:w="714"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F374B7" w:rsidRPr="003140E1" w:rsidRDefault="00F374B7" w:rsidP="008C589D">
            <w:pPr>
              <w:spacing w:before="20" w:after="20"/>
              <w:rPr>
                <w:rFonts w:ascii="Arial" w:hAnsi="Arial" w:cs="Arial"/>
                <w:b/>
                <w:bCs/>
                <w:color w:val="000000"/>
                <w:sz w:val="16"/>
                <w:szCs w:val="16"/>
              </w:rPr>
            </w:pPr>
            <w:r w:rsidRPr="003140E1">
              <w:rPr>
                <w:rFonts w:ascii="Arial" w:hAnsi="Arial" w:cs="Arial"/>
                <w:b/>
                <w:bCs/>
                <w:color w:val="000000"/>
                <w:sz w:val="16"/>
                <w:szCs w:val="16"/>
              </w:rPr>
              <w:t>Brochure Components</w:t>
            </w:r>
          </w:p>
        </w:tc>
        <w:tc>
          <w:tcPr>
            <w:tcW w:w="933"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Contains none of the</w:t>
            </w:r>
            <w:r>
              <w:rPr>
                <w:rFonts w:ascii="Arial" w:hAnsi="Arial" w:cs="Arial"/>
                <w:color w:val="403010"/>
                <w:sz w:val="16"/>
                <w:szCs w:val="16"/>
              </w:rPr>
              <w:t xml:space="preserve"> </w:t>
            </w:r>
            <w:r w:rsidRPr="003140E1">
              <w:rPr>
                <w:rFonts w:ascii="Arial" w:hAnsi="Arial" w:cs="Arial"/>
                <w:color w:val="403010"/>
                <w:sz w:val="16"/>
                <w:szCs w:val="16"/>
              </w:rPr>
              <w:t>requirements</w:t>
            </w:r>
            <w:r>
              <w:rPr>
                <w:rFonts w:ascii="Arial" w:hAnsi="Arial" w:cs="Arial"/>
                <w:color w:val="403010"/>
                <w:sz w:val="16"/>
                <w:szCs w:val="16"/>
              </w:rPr>
              <w:t xml:space="preserve"> </w:t>
            </w:r>
            <w:r w:rsidRPr="003140E1">
              <w:rPr>
                <w:rFonts w:ascii="Arial" w:hAnsi="Arial" w:cs="Arial"/>
                <w:color w:val="403010"/>
                <w:sz w:val="16"/>
                <w:szCs w:val="16"/>
              </w:rPr>
              <w:t>listed.</w:t>
            </w:r>
          </w:p>
        </w:tc>
        <w:tc>
          <w:tcPr>
            <w:tcW w:w="981"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Contains at least 2 of the requirements listed.</w:t>
            </w:r>
          </w:p>
        </w:tc>
        <w:tc>
          <w:tcPr>
            <w:tcW w:w="929"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Contains 3 of the listed</w:t>
            </w:r>
            <w:r>
              <w:rPr>
                <w:rFonts w:ascii="Arial" w:hAnsi="Arial" w:cs="Arial"/>
                <w:color w:val="403010"/>
                <w:sz w:val="16"/>
                <w:szCs w:val="16"/>
              </w:rPr>
              <w:t xml:space="preserve"> </w:t>
            </w:r>
            <w:r w:rsidRPr="003140E1">
              <w:rPr>
                <w:rFonts w:ascii="Arial" w:hAnsi="Arial" w:cs="Arial"/>
                <w:color w:val="403010"/>
                <w:sz w:val="16"/>
                <w:szCs w:val="16"/>
              </w:rPr>
              <w:t>requirements in the brochure.</w:t>
            </w:r>
          </w:p>
        </w:tc>
        <w:tc>
          <w:tcPr>
            <w:tcW w:w="1063"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Contains all of the listed</w:t>
            </w:r>
            <w:r>
              <w:rPr>
                <w:rFonts w:ascii="Arial" w:hAnsi="Arial" w:cs="Arial"/>
                <w:color w:val="403010"/>
                <w:sz w:val="16"/>
                <w:szCs w:val="16"/>
              </w:rPr>
              <w:t xml:space="preserve"> </w:t>
            </w:r>
            <w:r w:rsidRPr="003140E1">
              <w:rPr>
                <w:rFonts w:ascii="Arial" w:hAnsi="Arial" w:cs="Arial"/>
                <w:color w:val="403010"/>
                <w:sz w:val="16"/>
                <w:szCs w:val="16"/>
              </w:rPr>
              <w:t>requirements</w:t>
            </w:r>
            <w:r>
              <w:rPr>
                <w:rFonts w:ascii="Arial" w:hAnsi="Arial" w:cs="Arial"/>
                <w:color w:val="403010"/>
                <w:sz w:val="16"/>
                <w:szCs w:val="16"/>
              </w:rPr>
              <w:t xml:space="preserve"> </w:t>
            </w:r>
            <w:r w:rsidRPr="003140E1">
              <w:rPr>
                <w:rFonts w:ascii="Arial" w:hAnsi="Arial" w:cs="Arial"/>
                <w:color w:val="403010"/>
                <w:sz w:val="16"/>
                <w:szCs w:val="16"/>
              </w:rPr>
              <w:t>in the brochure.</w:t>
            </w:r>
          </w:p>
        </w:tc>
        <w:tc>
          <w:tcPr>
            <w:tcW w:w="380"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jc w:val="right"/>
              <w:rPr>
                <w:rFonts w:ascii="Arial" w:hAnsi="Arial" w:cs="Arial"/>
                <w:color w:val="403010"/>
                <w:sz w:val="16"/>
                <w:szCs w:val="16"/>
              </w:rPr>
            </w:pPr>
          </w:p>
        </w:tc>
      </w:tr>
      <w:tr w:rsidR="00F374B7" w:rsidRPr="003140E1" w:rsidTr="008C589D">
        <w:trPr>
          <w:trHeight w:val="1305"/>
          <w:tblCellSpacing w:w="0" w:type="dxa"/>
        </w:trPr>
        <w:tc>
          <w:tcPr>
            <w:tcW w:w="714"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F374B7" w:rsidRPr="003140E1" w:rsidRDefault="00F374B7" w:rsidP="008C589D">
            <w:pPr>
              <w:spacing w:before="20" w:after="20"/>
              <w:rPr>
                <w:rFonts w:ascii="Arial" w:hAnsi="Arial" w:cs="Arial"/>
                <w:b/>
                <w:bCs/>
                <w:color w:val="000000"/>
                <w:sz w:val="16"/>
                <w:szCs w:val="16"/>
              </w:rPr>
            </w:pPr>
            <w:r w:rsidRPr="003140E1">
              <w:rPr>
                <w:rFonts w:ascii="Arial" w:hAnsi="Arial" w:cs="Arial"/>
                <w:b/>
                <w:bCs/>
                <w:color w:val="000000"/>
                <w:sz w:val="16"/>
                <w:szCs w:val="16"/>
              </w:rPr>
              <w:t>Includes Historical Information and Rules of the Game</w:t>
            </w:r>
          </w:p>
        </w:tc>
        <w:tc>
          <w:tcPr>
            <w:tcW w:w="933"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Information pertaining to the rule</w:t>
            </w:r>
            <w:r>
              <w:rPr>
                <w:rFonts w:ascii="Arial" w:hAnsi="Arial" w:cs="Arial"/>
                <w:color w:val="403010"/>
                <w:sz w:val="16"/>
                <w:szCs w:val="16"/>
              </w:rPr>
              <w:t>s</w:t>
            </w:r>
            <w:r w:rsidRPr="003140E1">
              <w:rPr>
                <w:rFonts w:ascii="Arial" w:hAnsi="Arial" w:cs="Arial"/>
                <w:color w:val="403010"/>
                <w:sz w:val="16"/>
                <w:szCs w:val="16"/>
              </w:rPr>
              <w:t xml:space="preserve"> and history of the game is missing or incomplete.</w:t>
            </w:r>
          </w:p>
        </w:tc>
        <w:tc>
          <w:tcPr>
            <w:tcW w:w="981"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Information pertaining to the rules and history of the game is present but brief.</w:t>
            </w:r>
          </w:p>
        </w:tc>
        <w:tc>
          <w:tcPr>
            <w:tcW w:w="929"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Information pertaining to the rules and history of the game is clear and precise.</w:t>
            </w:r>
          </w:p>
        </w:tc>
        <w:tc>
          <w:tcPr>
            <w:tcW w:w="1063"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Information pertaining to rules and history of the game is clear and detailed, and in a format presentable to the readers.</w:t>
            </w:r>
          </w:p>
        </w:tc>
        <w:tc>
          <w:tcPr>
            <w:tcW w:w="380"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jc w:val="right"/>
              <w:rPr>
                <w:rFonts w:ascii="Arial" w:hAnsi="Arial" w:cs="Arial"/>
                <w:color w:val="403010"/>
                <w:sz w:val="16"/>
                <w:szCs w:val="16"/>
              </w:rPr>
            </w:pPr>
          </w:p>
        </w:tc>
      </w:tr>
      <w:tr w:rsidR="00F374B7" w:rsidRPr="003140E1" w:rsidTr="008C589D">
        <w:trPr>
          <w:trHeight w:val="972"/>
          <w:tblCellSpacing w:w="0" w:type="dxa"/>
        </w:trPr>
        <w:tc>
          <w:tcPr>
            <w:tcW w:w="714"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F374B7" w:rsidRPr="003140E1" w:rsidRDefault="00F374B7" w:rsidP="008C589D">
            <w:pPr>
              <w:spacing w:before="20" w:after="20"/>
              <w:rPr>
                <w:rFonts w:ascii="Arial" w:hAnsi="Arial" w:cs="Arial"/>
                <w:b/>
                <w:bCs/>
                <w:color w:val="000000"/>
                <w:sz w:val="16"/>
                <w:szCs w:val="16"/>
              </w:rPr>
            </w:pPr>
            <w:r w:rsidRPr="003140E1">
              <w:rPr>
                <w:rFonts w:ascii="Arial" w:hAnsi="Arial" w:cs="Arial"/>
                <w:b/>
                <w:bCs/>
                <w:color w:val="000000"/>
                <w:sz w:val="16"/>
                <w:szCs w:val="16"/>
              </w:rPr>
              <w:t>Benefits of Sports</w:t>
            </w:r>
          </w:p>
        </w:tc>
        <w:tc>
          <w:tcPr>
            <w:tcW w:w="933"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None of the required benefits are listed.</w:t>
            </w:r>
          </w:p>
        </w:tc>
        <w:tc>
          <w:tcPr>
            <w:tcW w:w="981"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Either Physical, Social, or Emotional benefits are listed but not all.</w:t>
            </w:r>
          </w:p>
        </w:tc>
        <w:tc>
          <w:tcPr>
            <w:tcW w:w="929"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All benefits are listed and briefly explained.</w:t>
            </w:r>
          </w:p>
        </w:tc>
        <w:tc>
          <w:tcPr>
            <w:tcW w:w="1063"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All physical, emotional and social benefits of the sports are described and clearly explained.</w:t>
            </w:r>
          </w:p>
        </w:tc>
        <w:tc>
          <w:tcPr>
            <w:tcW w:w="380"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jc w:val="right"/>
              <w:rPr>
                <w:rFonts w:ascii="Arial" w:hAnsi="Arial" w:cs="Arial"/>
                <w:color w:val="403010"/>
                <w:sz w:val="16"/>
                <w:szCs w:val="16"/>
              </w:rPr>
            </w:pPr>
          </w:p>
        </w:tc>
      </w:tr>
      <w:tr w:rsidR="00F374B7" w:rsidRPr="003140E1" w:rsidTr="008C589D">
        <w:trPr>
          <w:trHeight w:val="549"/>
          <w:tblCellSpacing w:w="0" w:type="dxa"/>
        </w:trPr>
        <w:tc>
          <w:tcPr>
            <w:tcW w:w="714"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F374B7" w:rsidRPr="003140E1" w:rsidRDefault="00F374B7" w:rsidP="008C589D">
            <w:pPr>
              <w:spacing w:before="20" w:after="20"/>
              <w:rPr>
                <w:rFonts w:ascii="Arial" w:hAnsi="Arial" w:cs="Arial"/>
                <w:b/>
                <w:bCs/>
                <w:color w:val="000000"/>
                <w:sz w:val="16"/>
                <w:szCs w:val="16"/>
              </w:rPr>
            </w:pPr>
            <w:r w:rsidRPr="003140E1">
              <w:rPr>
                <w:rFonts w:ascii="Arial" w:hAnsi="Arial" w:cs="Arial"/>
                <w:b/>
                <w:bCs/>
                <w:color w:val="000000"/>
                <w:sz w:val="16"/>
                <w:szCs w:val="16"/>
              </w:rPr>
              <w:t>Brochure Design</w:t>
            </w:r>
          </w:p>
        </w:tc>
        <w:tc>
          <w:tcPr>
            <w:tcW w:w="933"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The brochure has little or no structure.</w:t>
            </w:r>
          </w:p>
        </w:tc>
        <w:tc>
          <w:tcPr>
            <w:tcW w:w="981"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The brochure shows an attempted design and sequence.</w:t>
            </w:r>
          </w:p>
        </w:tc>
        <w:tc>
          <w:tcPr>
            <w:tcW w:w="929"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sidRPr="003140E1">
              <w:rPr>
                <w:rFonts w:ascii="Arial" w:hAnsi="Arial" w:cs="Arial"/>
                <w:color w:val="403010"/>
                <w:sz w:val="16"/>
                <w:szCs w:val="16"/>
              </w:rPr>
              <w:t>The brochure has a clear design but sometime lacks a sequential element.</w:t>
            </w:r>
          </w:p>
        </w:tc>
        <w:tc>
          <w:tcPr>
            <w:tcW w:w="1063"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rPr>
                <w:rFonts w:ascii="Arial" w:hAnsi="Arial" w:cs="Arial"/>
                <w:color w:val="403010"/>
                <w:sz w:val="16"/>
                <w:szCs w:val="16"/>
              </w:rPr>
            </w:pPr>
            <w:r>
              <w:rPr>
                <w:rFonts w:ascii="Arial" w:hAnsi="Arial" w:cs="Arial"/>
                <w:color w:val="403010"/>
                <w:sz w:val="16"/>
                <w:szCs w:val="16"/>
              </w:rPr>
              <w:t>B</w:t>
            </w:r>
            <w:r w:rsidRPr="003140E1">
              <w:rPr>
                <w:rFonts w:ascii="Arial" w:hAnsi="Arial" w:cs="Arial"/>
                <w:color w:val="403010"/>
                <w:sz w:val="16"/>
                <w:szCs w:val="16"/>
              </w:rPr>
              <w:t>rochure has a clear and inviting design, and follows a highly organized sequence.</w:t>
            </w:r>
          </w:p>
        </w:tc>
        <w:tc>
          <w:tcPr>
            <w:tcW w:w="380" w:type="pct"/>
            <w:tcBorders>
              <w:top w:val="outset" w:sz="6" w:space="0" w:color="auto"/>
              <w:left w:val="outset" w:sz="6" w:space="0" w:color="auto"/>
              <w:bottom w:val="outset" w:sz="6" w:space="0" w:color="auto"/>
              <w:right w:val="outset" w:sz="6" w:space="0" w:color="auto"/>
            </w:tcBorders>
            <w:vAlign w:val="center"/>
            <w:hideMark/>
          </w:tcPr>
          <w:p w:rsidR="00F374B7" w:rsidRPr="003140E1" w:rsidRDefault="00F374B7" w:rsidP="008C589D">
            <w:pPr>
              <w:spacing w:before="20" w:after="20"/>
              <w:jc w:val="right"/>
              <w:rPr>
                <w:rFonts w:ascii="Arial" w:hAnsi="Arial" w:cs="Arial"/>
                <w:color w:val="403010"/>
                <w:sz w:val="16"/>
                <w:szCs w:val="16"/>
              </w:rPr>
            </w:pPr>
          </w:p>
        </w:tc>
      </w:tr>
    </w:tbl>
    <w:p w:rsidR="00F374B7" w:rsidRPr="001450F1" w:rsidRDefault="00F374B7" w:rsidP="00F374B7">
      <w:pPr>
        <w:pStyle w:val="Heading3"/>
      </w:pPr>
      <w:r w:rsidRPr="001450F1">
        <w:t>Conclusion</w:t>
      </w:r>
    </w:p>
    <w:p w:rsidR="00F374B7" w:rsidRPr="0015606B" w:rsidRDefault="00F374B7" w:rsidP="00F374B7">
      <w:r w:rsidRPr="0015606B">
        <w:t>Now that you have completed your brochure and studied your sport, you should have a clearer idea of the history and the rules that govern your sport.</w:t>
      </w:r>
    </w:p>
    <w:p w:rsidR="00F374B7" w:rsidRPr="0015606B" w:rsidRDefault="00F374B7" w:rsidP="00F374B7">
      <w:r w:rsidRPr="0015606B">
        <w:t>However, most importantly you should now know the key physical, emotional, and social benefits of sport, and hopefully this will encourage you to sustain or even increase your participation level.</w:t>
      </w:r>
    </w:p>
    <w:p w:rsidR="00F374B7" w:rsidRDefault="00F374B7" w:rsidP="00F374B7">
      <w:pPr>
        <w:jc w:val="center"/>
      </w:pPr>
      <w:r>
        <w:rPr>
          <w:noProof/>
        </w:rPr>
        <w:drawing>
          <wp:inline distT="0" distB="0" distL="0" distR="0" wp14:anchorId="14D1906D" wp14:editId="469E7120">
            <wp:extent cx="5077326" cy="126919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94730" cy="1298542"/>
                    </a:xfrm>
                    <a:prstGeom prst="rect">
                      <a:avLst/>
                    </a:prstGeom>
                  </pic:spPr>
                </pic:pic>
              </a:graphicData>
            </a:graphic>
          </wp:inline>
        </w:drawing>
      </w:r>
    </w:p>
    <w:p w:rsidR="00F374B7" w:rsidRDefault="00F374B7" w:rsidP="00F374B7">
      <w:r w:rsidRPr="0015606B">
        <w:t>Click here to give feedback to the author</w:t>
      </w:r>
    </w:p>
    <w:p w:rsidR="00F374B7" w:rsidRDefault="009557B1" w:rsidP="00A35C6E">
      <w:pPr>
        <w:spacing w:before="240" w:after="0"/>
      </w:pPr>
      <w:hyperlink w:anchor="TOC" w:history="1">
        <w:r w:rsidR="00F374B7" w:rsidRPr="000C7B67">
          <w:rPr>
            <w:rStyle w:val="Hyperlink"/>
            <w:rFonts w:ascii="Arial" w:hAnsi="Arial" w:cs="Arial"/>
            <w:sz w:val="16"/>
            <w:szCs w:val="16"/>
          </w:rPr>
          <w:t>Return to Table of Contents</w:t>
        </w:r>
      </w:hyperlink>
    </w:p>
    <w:sectPr w:rsidR="00F374B7" w:rsidSect="00C01D42">
      <w:headerReference w:type="even" r:id="rId35"/>
      <w:headerReference w:type="default" r:id="rId36"/>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7B1" w:rsidRDefault="009557B1" w:rsidP="00CD285E">
      <w:pPr>
        <w:spacing w:after="0"/>
      </w:pPr>
      <w:r>
        <w:separator/>
      </w:r>
    </w:p>
  </w:endnote>
  <w:endnote w:type="continuationSeparator" w:id="0">
    <w:p w:rsidR="009557B1" w:rsidRDefault="009557B1"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abic Transparent">
    <w:panose1 w:val="020B0604020202020204"/>
    <w:charset w:val="00"/>
    <w:family w:val="swiss"/>
    <w:pitch w:val="variable"/>
    <w:sig w:usb0="E0002E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UPCELight">
    <w:altName w:val="Arial Unicode MS"/>
    <w:panose1 w:val="00000000000000000000"/>
    <w:charset w:val="80"/>
    <w:family w:val="auto"/>
    <w:notTrueType/>
    <w:pitch w:val="default"/>
    <w:sig w:usb0="00000001" w:usb1="08070000" w:usb2="00000010" w:usb3="00000000" w:csb0="00020000" w:csb1="00000000"/>
  </w:font>
  <w:font w:name="UPCIBold">
    <w:altName w:val="Arial Unicode MS"/>
    <w:panose1 w:val="00000000000000000000"/>
    <w:charset w:val="80"/>
    <w:family w:val="auto"/>
    <w:notTrueType/>
    <w:pitch w:val="default"/>
    <w:sig w:usb0="00000000" w:usb1="08070000" w:usb2="00000010" w:usb3="00000000" w:csb0="00020000" w:csb1="00000000"/>
  </w:font>
  <w:font w:name="AdvP8588">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89D" w:rsidRDefault="008C589D" w:rsidP="00DB6BE5">
    <w:pPr>
      <w:framePr w:wrap="around" w:vAnchor="text" w:hAnchor="margin" w:xAlign="center" w:y="1"/>
    </w:pPr>
    <w:r>
      <w:fldChar w:fldCharType="begin"/>
    </w:r>
    <w:r>
      <w:instrText xml:space="preserve">PAGE  </w:instrText>
    </w:r>
    <w:r>
      <w:fldChar w:fldCharType="end"/>
    </w:r>
  </w:p>
  <w:p w:rsidR="008C589D" w:rsidRDefault="008C589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89D" w:rsidRPr="005239EB" w:rsidRDefault="008C589D" w:rsidP="00093A16">
    <w:pPr>
      <w:framePr w:wrap="around" w:vAnchor="text" w:hAnchor="margin" w:xAlign="center" w:y="1"/>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E76637">
      <w:rPr>
        <w:rStyle w:val="Heading5Char"/>
        <w:noProof/>
        <w:sz w:val="16"/>
        <w:szCs w:val="16"/>
      </w:rPr>
      <w:t>iii</w:t>
    </w:r>
    <w:r w:rsidRPr="005239EB">
      <w:rPr>
        <w:rStyle w:val="Heading5Char"/>
        <w:sz w:val="16"/>
        <w:szCs w:val="16"/>
      </w:rPr>
      <w:fldChar w:fldCharType="end"/>
    </w:r>
  </w:p>
  <w:p w:rsidR="008C589D" w:rsidRPr="008479C9" w:rsidRDefault="008C589D" w:rsidP="00DB6BE5">
    <w:pPr>
      <w:rPr>
        <w:rFonts w:ascii="Arial" w:hAnsi="Arial" w:cs="Arial"/>
        <w:sz w:val="16"/>
        <w:szCs w:val="16"/>
      </w:rPr>
    </w:pPr>
    <w:r>
      <w:rPr>
        <w:rFonts w:ascii="Arial" w:hAnsi="Arial" w:cs="Arial"/>
        <w:sz w:val="16"/>
        <w:szCs w:val="16"/>
      </w:rPr>
      <w:t>February 2015</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479C9">
      <w:rPr>
        <w:rFonts w:ascii="Arial" w:hAnsi="Arial" w:cs="Arial"/>
        <w:sz w:val="16"/>
        <w:szCs w:val="16"/>
      </w:rPr>
      <w:t xml:space="preserve">Vol. </w:t>
    </w:r>
    <w:r>
      <w:rPr>
        <w:rFonts w:ascii="Arial" w:hAnsi="Arial" w:cs="Arial"/>
        <w:sz w:val="16"/>
        <w:szCs w:val="16"/>
      </w:rPr>
      <w:t>12</w:t>
    </w:r>
    <w:r w:rsidRPr="008479C9">
      <w:rPr>
        <w:rFonts w:ascii="Arial" w:hAnsi="Arial" w:cs="Arial"/>
        <w:sz w:val="16"/>
        <w:szCs w:val="16"/>
      </w:rPr>
      <w:t>. No.</w:t>
    </w:r>
    <w:r>
      <w:rPr>
        <w:rFonts w:ascii="Arial" w:hAnsi="Arial" w:cs="Arial"/>
        <w:sz w:val="16"/>
        <w:szCs w:val="16"/>
      </w:rPr>
      <w:t>2</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7B1" w:rsidRDefault="009557B1" w:rsidP="00CD285E">
      <w:pPr>
        <w:spacing w:after="0"/>
      </w:pPr>
      <w:r>
        <w:separator/>
      </w:r>
    </w:p>
  </w:footnote>
  <w:footnote w:type="continuationSeparator" w:id="0">
    <w:p w:rsidR="009557B1" w:rsidRDefault="009557B1"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89D" w:rsidRDefault="008C589D">
    <w:pPr>
      <w:framePr w:wrap="around" w:vAnchor="text" w:hAnchor="margin" w:xAlign="right" w:y="1"/>
    </w:pPr>
    <w:r>
      <w:fldChar w:fldCharType="begin"/>
    </w:r>
    <w:r>
      <w:instrText xml:space="preserve">PAGE  </w:instrText>
    </w:r>
    <w:r>
      <w:fldChar w:fldCharType="end"/>
    </w:r>
  </w:p>
  <w:p w:rsidR="008C589D" w:rsidRDefault="008C589D">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89D" w:rsidRPr="00220D42" w:rsidRDefault="008C589D"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89D" w:rsidRDefault="008C589D"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C589D" w:rsidRDefault="008C589D"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89D" w:rsidRPr="00220D42" w:rsidRDefault="008C589D"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25DCF"/>
    <w:multiLevelType w:val="hybridMultilevel"/>
    <w:tmpl w:val="294838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C064E"/>
    <w:multiLevelType w:val="hybridMultilevel"/>
    <w:tmpl w:val="57667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17A0A"/>
    <w:multiLevelType w:val="hybridMultilevel"/>
    <w:tmpl w:val="28A81F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A44A6"/>
    <w:multiLevelType w:val="hybridMultilevel"/>
    <w:tmpl w:val="C82E4A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96B8A"/>
    <w:multiLevelType w:val="hybridMultilevel"/>
    <w:tmpl w:val="92B016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A3C8D"/>
    <w:multiLevelType w:val="hybridMultilevel"/>
    <w:tmpl w:val="6430FB8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954470"/>
    <w:multiLevelType w:val="hybridMultilevel"/>
    <w:tmpl w:val="9DFC66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A927D9"/>
    <w:multiLevelType w:val="hybridMultilevel"/>
    <w:tmpl w:val="E9E239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C4AF7"/>
    <w:multiLevelType w:val="hybridMultilevel"/>
    <w:tmpl w:val="76B44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2345C0"/>
    <w:multiLevelType w:val="hybridMultilevel"/>
    <w:tmpl w:val="8E06E68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3AC2E16"/>
    <w:multiLevelType w:val="hybridMultilevel"/>
    <w:tmpl w:val="857A2D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1B5F9F"/>
    <w:multiLevelType w:val="hybridMultilevel"/>
    <w:tmpl w:val="5038CD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D96134"/>
    <w:multiLevelType w:val="hybridMultilevel"/>
    <w:tmpl w:val="8EDE54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A60F28"/>
    <w:multiLevelType w:val="hybridMultilevel"/>
    <w:tmpl w:val="EFDA0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52F87"/>
    <w:multiLevelType w:val="hybridMultilevel"/>
    <w:tmpl w:val="0CA44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725AB0"/>
    <w:multiLevelType w:val="hybridMultilevel"/>
    <w:tmpl w:val="C1B4AA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D5731E"/>
    <w:multiLevelType w:val="hybridMultilevel"/>
    <w:tmpl w:val="293AD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212399"/>
    <w:multiLevelType w:val="hybridMultilevel"/>
    <w:tmpl w:val="CF20B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5F40FF"/>
    <w:multiLevelType w:val="hybridMultilevel"/>
    <w:tmpl w:val="72EE7F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00085"/>
    <w:multiLevelType w:val="hybridMultilevel"/>
    <w:tmpl w:val="16842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267CE0"/>
    <w:multiLevelType w:val="hybridMultilevel"/>
    <w:tmpl w:val="DC94B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6300B7"/>
    <w:multiLevelType w:val="hybridMultilevel"/>
    <w:tmpl w:val="59404BC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6DF29DB"/>
    <w:multiLevelType w:val="hybridMultilevel"/>
    <w:tmpl w:val="A192E37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7F54D09"/>
    <w:multiLevelType w:val="hybridMultilevel"/>
    <w:tmpl w:val="377C0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9F0F7D"/>
    <w:multiLevelType w:val="hybridMultilevel"/>
    <w:tmpl w:val="C02A9344"/>
    <w:lvl w:ilvl="0" w:tplc="EBD28160">
      <w:start w:val="1"/>
      <w:numFmt w:val="bullet"/>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AF0801"/>
    <w:multiLevelType w:val="hybridMultilevel"/>
    <w:tmpl w:val="C1709BB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276CC4"/>
    <w:multiLevelType w:val="hybridMultilevel"/>
    <w:tmpl w:val="D7E270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BC011D"/>
    <w:multiLevelType w:val="hybridMultilevel"/>
    <w:tmpl w:val="942AB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E82FB6"/>
    <w:multiLevelType w:val="hybridMultilevel"/>
    <w:tmpl w:val="0752138C"/>
    <w:lvl w:ilvl="0" w:tplc="E0E2CE0A">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0D15BA"/>
    <w:multiLevelType w:val="hybridMultilevel"/>
    <w:tmpl w:val="76A65B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94497F"/>
    <w:multiLevelType w:val="hybridMultilevel"/>
    <w:tmpl w:val="B7EC6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B93E00"/>
    <w:multiLevelType w:val="hybridMultilevel"/>
    <w:tmpl w:val="A83CA2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7113FA"/>
    <w:multiLevelType w:val="multilevel"/>
    <w:tmpl w:val="19CC1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E85D1A"/>
    <w:multiLevelType w:val="hybridMultilevel"/>
    <w:tmpl w:val="03C01C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AA7980"/>
    <w:multiLevelType w:val="hybridMultilevel"/>
    <w:tmpl w:val="E09C6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830CE3"/>
    <w:multiLevelType w:val="hybridMultilevel"/>
    <w:tmpl w:val="254A0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8D126C"/>
    <w:multiLevelType w:val="hybridMultilevel"/>
    <w:tmpl w:val="BEFE98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A72D37"/>
    <w:multiLevelType w:val="hybridMultilevel"/>
    <w:tmpl w:val="8696C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431B5D"/>
    <w:multiLevelType w:val="hybridMultilevel"/>
    <w:tmpl w:val="C4628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7A4FF4"/>
    <w:multiLevelType w:val="hybridMultilevel"/>
    <w:tmpl w:val="20C0A7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AC5571B"/>
    <w:multiLevelType w:val="hybridMultilevel"/>
    <w:tmpl w:val="B8EE02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4554CF"/>
    <w:multiLevelType w:val="hybridMultilevel"/>
    <w:tmpl w:val="BF7EB9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15:restartNumberingAfterBreak="0">
    <w:nsid w:val="77530C02"/>
    <w:multiLevelType w:val="hybridMultilevel"/>
    <w:tmpl w:val="D2405C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FB54C6"/>
    <w:multiLevelType w:val="hybridMultilevel"/>
    <w:tmpl w:val="0BCE5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F30851"/>
    <w:multiLevelType w:val="hybridMultilevel"/>
    <w:tmpl w:val="947AB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43"/>
  </w:num>
  <w:num w:numId="3">
    <w:abstractNumId w:val="13"/>
  </w:num>
  <w:num w:numId="4">
    <w:abstractNumId w:val="45"/>
  </w:num>
  <w:num w:numId="5">
    <w:abstractNumId w:val="36"/>
  </w:num>
  <w:num w:numId="6">
    <w:abstractNumId w:val="25"/>
  </w:num>
  <w:num w:numId="7">
    <w:abstractNumId w:val="22"/>
  </w:num>
  <w:num w:numId="8">
    <w:abstractNumId w:val="14"/>
  </w:num>
  <w:num w:numId="9">
    <w:abstractNumId w:val="3"/>
  </w:num>
  <w:num w:numId="10">
    <w:abstractNumId w:val="15"/>
  </w:num>
  <w:num w:numId="11">
    <w:abstractNumId w:val="11"/>
  </w:num>
  <w:num w:numId="12">
    <w:abstractNumId w:val="9"/>
  </w:num>
  <w:num w:numId="13">
    <w:abstractNumId w:val="21"/>
  </w:num>
  <w:num w:numId="14">
    <w:abstractNumId w:val="26"/>
  </w:num>
  <w:num w:numId="15">
    <w:abstractNumId w:val="33"/>
  </w:num>
  <w:num w:numId="16">
    <w:abstractNumId w:val="44"/>
  </w:num>
  <w:num w:numId="17">
    <w:abstractNumId w:val="42"/>
  </w:num>
  <w:num w:numId="18">
    <w:abstractNumId w:val="31"/>
  </w:num>
  <w:num w:numId="19">
    <w:abstractNumId w:val="17"/>
  </w:num>
  <w:num w:numId="20">
    <w:abstractNumId w:val="12"/>
  </w:num>
  <w:num w:numId="21">
    <w:abstractNumId w:val="18"/>
  </w:num>
  <w:num w:numId="22">
    <w:abstractNumId w:val="41"/>
  </w:num>
  <w:num w:numId="23">
    <w:abstractNumId w:val="29"/>
  </w:num>
  <w:num w:numId="24">
    <w:abstractNumId w:val="6"/>
  </w:num>
  <w:num w:numId="25">
    <w:abstractNumId w:val="10"/>
  </w:num>
  <w:num w:numId="26">
    <w:abstractNumId w:val="0"/>
  </w:num>
  <w:num w:numId="27">
    <w:abstractNumId w:val="37"/>
  </w:num>
  <w:num w:numId="28">
    <w:abstractNumId w:val="7"/>
  </w:num>
  <w:num w:numId="29">
    <w:abstractNumId w:val="2"/>
  </w:num>
  <w:num w:numId="30">
    <w:abstractNumId w:val="20"/>
  </w:num>
  <w:num w:numId="31">
    <w:abstractNumId w:val="38"/>
  </w:num>
  <w:num w:numId="32">
    <w:abstractNumId w:val="4"/>
  </w:num>
  <w:num w:numId="33">
    <w:abstractNumId w:val="39"/>
  </w:num>
  <w:num w:numId="34">
    <w:abstractNumId w:val="8"/>
  </w:num>
  <w:num w:numId="35">
    <w:abstractNumId w:val="30"/>
  </w:num>
  <w:num w:numId="36">
    <w:abstractNumId w:val="35"/>
  </w:num>
  <w:num w:numId="37">
    <w:abstractNumId w:val="32"/>
  </w:num>
  <w:num w:numId="38">
    <w:abstractNumId w:val="19"/>
  </w:num>
  <w:num w:numId="39">
    <w:abstractNumId w:val="1"/>
  </w:num>
  <w:num w:numId="40">
    <w:abstractNumId w:val="16"/>
  </w:num>
  <w:num w:numId="41">
    <w:abstractNumId w:val="46"/>
  </w:num>
  <w:num w:numId="42">
    <w:abstractNumId w:val="34"/>
  </w:num>
  <w:num w:numId="43">
    <w:abstractNumId w:val="23"/>
  </w:num>
  <w:num w:numId="44">
    <w:abstractNumId w:val="27"/>
  </w:num>
  <w:num w:numId="45">
    <w:abstractNumId w:val="24"/>
  </w:num>
  <w:num w:numId="46">
    <w:abstractNumId w:val="5"/>
  </w:num>
  <w:num w:numId="47">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6E3"/>
    <w:rsid w:val="0000189C"/>
    <w:rsid w:val="00004251"/>
    <w:rsid w:val="00007D91"/>
    <w:rsid w:val="00010620"/>
    <w:rsid w:val="00010838"/>
    <w:rsid w:val="00014927"/>
    <w:rsid w:val="0001502C"/>
    <w:rsid w:val="00020A5F"/>
    <w:rsid w:val="00022D9F"/>
    <w:rsid w:val="00023B75"/>
    <w:rsid w:val="000254A8"/>
    <w:rsid w:val="00025FA8"/>
    <w:rsid w:val="0002603E"/>
    <w:rsid w:val="000264A4"/>
    <w:rsid w:val="00027068"/>
    <w:rsid w:val="0002742E"/>
    <w:rsid w:val="00030D05"/>
    <w:rsid w:val="0004102A"/>
    <w:rsid w:val="00041A5A"/>
    <w:rsid w:val="00042E74"/>
    <w:rsid w:val="00044383"/>
    <w:rsid w:val="00044B41"/>
    <w:rsid w:val="0004672D"/>
    <w:rsid w:val="000474AC"/>
    <w:rsid w:val="0005343E"/>
    <w:rsid w:val="000539E2"/>
    <w:rsid w:val="000544C2"/>
    <w:rsid w:val="00054965"/>
    <w:rsid w:val="00055CF8"/>
    <w:rsid w:val="00055FBD"/>
    <w:rsid w:val="000569C6"/>
    <w:rsid w:val="00056C98"/>
    <w:rsid w:val="00060EC0"/>
    <w:rsid w:val="00062D1A"/>
    <w:rsid w:val="000643AD"/>
    <w:rsid w:val="000645D5"/>
    <w:rsid w:val="0006676F"/>
    <w:rsid w:val="00070E44"/>
    <w:rsid w:val="0007413D"/>
    <w:rsid w:val="000755EB"/>
    <w:rsid w:val="00076CF1"/>
    <w:rsid w:val="0008018A"/>
    <w:rsid w:val="00080B77"/>
    <w:rsid w:val="00082075"/>
    <w:rsid w:val="00082327"/>
    <w:rsid w:val="00083683"/>
    <w:rsid w:val="00083D79"/>
    <w:rsid w:val="00083F29"/>
    <w:rsid w:val="000909D8"/>
    <w:rsid w:val="00091902"/>
    <w:rsid w:val="000926EB"/>
    <w:rsid w:val="00092B53"/>
    <w:rsid w:val="00093A16"/>
    <w:rsid w:val="00096B87"/>
    <w:rsid w:val="00097F4E"/>
    <w:rsid w:val="000A0A9A"/>
    <w:rsid w:val="000A0F87"/>
    <w:rsid w:val="000A1725"/>
    <w:rsid w:val="000A1C3F"/>
    <w:rsid w:val="000A4084"/>
    <w:rsid w:val="000A520A"/>
    <w:rsid w:val="000A56DE"/>
    <w:rsid w:val="000A6CCA"/>
    <w:rsid w:val="000A7F0B"/>
    <w:rsid w:val="000B0B7E"/>
    <w:rsid w:val="000B161A"/>
    <w:rsid w:val="000B3D54"/>
    <w:rsid w:val="000C15B9"/>
    <w:rsid w:val="000C20CD"/>
    <w:rsid w:val="000C4077"/>
    <w:rsid w:val="000C5256"/>
    <w:rsid w:val="000C5D47"/>
    <w:rsid w:val="000C7855"/>
    <w:rsid w:val="000C7A7D"/>
    <w:rsid w:val="000C7B67"/>
    <w:rsid w:val="000D6B24"/>
    <w:rsid w:val="000D71B1"/>
    <w:rsid w:val="000D7AF3"/>
    <w:rsid w:val="000E06A8"/>
    <w:rsid w:val="000E1FA1"/>
    <w:rsid w:val="000E4F75"/>
    <w:rsid w:val="000E5704"/>
    <w:rsid w:val="000F0834"/>
    <w:rsid w:val="000F4D73"/>
    <w:rsid w:val="0010149F"/>
    <w:rsid w:val="001016CA"/>
    <w:rsid w:val="00101852"/>
    <w:rsid w:val="00101A3A"/>
    <w:rsid w:val="00103485"/>
    <w:rsid w:val="001048C7"/>
    <w:rsid w:val="00114CBC"/>
    <w:rsid w:val="00114D66"/>
    <w:rsid w:val="001150B4"/>
    <w:rsid w:val="0011664A"/>
    <w:rsid w:val="0012009C"/>
    <w:rsid w:val="001205DD"/>
    <w:rsid w:val="00121CB6"/>
    <w:rsid w:val="001233B3"/>
    <w:rsid w:val="00127464"/>
    <w:rsid w:val="001310A0"/>
    <w:rsid w:val="00133F70"/>
    <w:rsid w:val="00135318"/>
    <w:rsid w:val="00135B9A"/>
    <w:rsid w:val="00135DF0"/>
    <w:rsid w:val="00137695"/>
    <w:rsid w:val="0014083B"/>
    <w:rsid w:val="00141C4D"/>
    <w:rsid w:val="00141C6A"/>
    <w:rsid w:val="001431B7"/>
    <w:rsid w:val="00144E8C"/>
    <w:rsid w:val="001450F1"/>
    <w:rsid w:val="001462AD"/>
    <w:rsid w:val="001514CF"/>
    <w:rsid w:val="00152724"/>
    <w:rsid w:val="001553B0"/>
    <w:rsid w:val="0016140A"/>
    <w:rsid w:val="00161F4B"/>
    <w:rsid w:val="00162CB8"/>
    <w:rsid w:val="00164388"/>
    <w:rsid w:val="00167D8C"/>
    <w:rsid w:val="0017051F"/>
    <w:rsid w:val="00174980"/>
    <w:rsid w:val="001756A5"/>
    <w:rsid w:val="00177E82"/>
    <w:rsid w:val="00177ECD"/>
    <w:rsid w:val="00182BB3"/>
    <w:rsid w:val="001831B6"/>
    <w:rsid w:val="001832C1"/>
    <w:rsid w:val="0018487D"/>
    <w:rsid w:val="00185C9F"/>
    <w:rsid w:val="00186322"/>
    <w:rsid w:val="001905FE"/>
    <w:rsid w:val="0019329E"/>
    <w:rsid w:val="00194C7B"/>
    <w:rsid w:val="00197DCF"/>
    <w:rsid w:val="001A325F"/>
    <w:rsid w:val="001A6E1D"/>
    <w:rsid w:val="001B3B7F"/>
    <w:rsid w:val="001B414C"/>
    <w:rsid w:val="001B4EEA"/>
    <w:rsid w:val="001B694D"/>
    <w:rsid w:val="001B6F78"/>
    <w:rsid w:val="001C2C32"/>
    <w:rsid w:val="001C3CE2"/>
    <w:rsid w:val="001C79CE"/>
    <w:rsid w:val="001D240A"/>
    <w:rsid w:val="001D2879"/>
    <w:rsid w:val="001D2AF9"/>
    <w:rsid w:val="001D4C00"/>
    <w:rsid w:val="001D4C19"/>
    <w:rsid w:val="001D5149"/>
    <w:rsid w:val="001E04FB"/>
    <w:rsid w:val="001E4628"/>
    <w:rsid w:val="001E5B7E"/>
    <w:rsid w:val="001E6DF3"/>
    <w:rsid w:val="001F0422"/>
    <w:rsid w:val="001F26C2"/>
    <w:rsid w:val="001F38E5"/>
    <w:rsid w:val="001F51FE"/>
    <w:rsid w:val="001F66FB"/>
    <w:rsid w:val="001F7733"/>
    <w:rsid w:val="001F7E2A"/>
    <w:rsid w:val="00202F80"/>
    <w:rsid w:val="00206299"/>
    <w:rsid w:val="00211107"/>
    <w:rsid w:val="002129D2"/>
    <w:rsid w:val="002134B5"/>
    <w:rsid w:val="0021368D"/>
    <w:rsid w:val="00213DFC"/>
    <w:rsid w:val="0021673E"/>
    <w:rsid w:val="00220D42"/>
    <w:rsid w:val="00224E32"/>
    <w:rsid w:val="002325A4"/>
    <w:rsid w:val="00233176"/>
    <w:rsid w:val="00235315"/>
    <w:rsid w:val="00241B00"/>
    <w:rsid w:val="00242678"/>
    <w:rsid w:val="00243D5A"/>
    <w:rsid w:val="00247A2A"/>
    <w:rsid w:val="00253764"/>
    <w:rsid w:val="00253C61"/>
    <w:rsid w:val="00256CE0"/>
    <w:rsid w:val="00257D00"/>
    <w:rsid w:val="00260ECF"/>
    <w:rsid w:val="00264A4B"/>
    <w:rsid w:val="002676E6"/>
    <w:rsid w:val="002677DE"/>
    <w:rsid w:val="00267855"/>
    <w:rsid w:val="0026797F"/>
    <w:rsid w:val="00272F7A"/>
    <w:rsid w:val="00274730"/>
    <w:rsid w:val="00274860"/>
    <w:rsid w:val="00274E4A"/>
    <w:rsid w:val="002866B2"/>
    <w:rsid w:val="0028794C"/>
    <w:rsid w:val="00294A70"/>
    <w:rsid w:val="002A06A6"/>
    <w:rsid w:val="002A06F9"/>
    <w:rsid w:val="002A4BE5"/>
    <w:rsid w:val="002A6B03"/>
    <w:rsid w:val="002A799D"/>
    <w:rsid w:val="002B12D6"/>
    <w:rsid w:val="002B6905"/>
    <w:rsid w:val="002B76B0"/>
    <w:rsid w:val="002B7F07"/>
    <w:rsid w:val="002C0A5E"/>
    <w:rsid w:val="002C1E16"/>
    <w:rsid w:val="002C1E65"/>
    <w:rsid w:val="002C2ABD"/>
    <w:rsid w:val="002C3320"/>
    <w:rsid w:val="002C4DF8"/>
    <w:rsid w:val="002C58CD"/>
    <w:rsid w:val="002C7A30"/>
    <w:rsid w:val="002D2AE1"/>
    <w:rsid w:val="002D2B99"/>
    <w:rsid w:val="002D2BD6"/>
    <w:rsid w:val="002D37B9"/>
    <w:rsid w:val="002D50FA"/>
    <w:rsid w:val="002D55B7"/>
    <w:rsid w:val="002D57F0"/>
    <w:rsid w:val="002D69A0"/>
    <w:rsid w:val="002D75E5"/>
    <w:rsid w:val="002E0269"/>
    <w:rsid w:val="002E4731"/>
    <w:rsid w:val="002E617A"/>
    <w:rsid w:val="002E7F3F"/>
    <w:rsid w:val="002F0673"/>
    <w:rsid w:val="002F07F7"/>
    <w:rsid w:val="002F099E"/>
    <w:rsid w:val="002F0EA7"/>
    <w:rsid w:val="002F4508"/>
    <w:rsid w:val="002F47E8"/>
    <w:rsid w:val="002F49AD"/>
    <w:rsid w:val="002F4CA8"/>
    <w:rsid w:val="00300018"/>
    <w:rsid w:val="003006D2"/>
    <w:rsid w:val="00302C96"/>
    <w:rsid w:val="00302CC1"/>
    <w:rsid w:val="003051CC"/>
    <w:rsid w:val="00305D48"/>
    <w:rsid w:val="003075F9"/>
    <w:rsid w:val="00310E0A"/>
    <w:rsid w:val="00310E63"/>
    <w:rsid w:val="0031341D"/>
    <w:rsid w:val="00315DC5"/>
    <w:rsid w:val="00315FBF"/>
    <w:rsid w:val="00320BCA"/>
    <w:rsid w:val="003226DA"/>
    <w:rsid w:val="00326C15"/>
    <w:rsid w:val="0033077D"/>
    <w:rsid w:val="003309EF"/>
    <w:rsid w:val="0033251A"/>
    <w:rsid w:val="00336835"/>
    <w:rsid w:val="00341E25"/>
    <w:rsid w:val="00343814"/>
    <w:rsid w:val="003453C3"/>
    <w:rsid w:val="00345D10"/>
    <w:rsid w:val="00346811"/>
    <w:rsid w:val="0035003A"/>
    <w:rsid w:val="003531EB"/>
    <w:rsid w:val="00353585"/>
    <w:rsid w:val="00354ADE"/>
    <w:rsid w:val="00354F32"/>
    <w:rsid w:val="00360C86"/>
    <w:rsid w:val="0036169B"/>
    <w:rsid w:val="00361FC9"/>
    <w:rsid w:val="00362CF1"/>
    <w:rsid w:val="00366D4E"/>
    <w:rsid w:val="00367675"/>
    <w:rsid w:val="0036788C"/>
    <w:rsid w:val="00372A15"/>
    <w:rsid w:val="00381CC0"/>
    <w:rsid w:val="003879F6"/>
    <w:rsid w:val="003972C2"/>
    <w:rsid w:val="003A19C3"/>
    <w:rsid w:val="003A2A07"/>
    <w:rsid w:val="003A421B"/>
    <w:rsid w:val="003A574F"/>
    <w:rsid w:val="003A79C3"/>
    <w:rsid w:val="003B4792"/>
    <w:rsid w:val="003B5427"/>
    <w:rsid w:val="003C2FFB"/>
    <w:rsid w:val="003C34DF"/>
    <w:rsid w:val="003C4F0B"/>
    <w:rsid w:val="003C6938"/>
    <w:rsid w:val="003D205A"/>
    <w:rsid w:val="003D477F"/>
    <w:rsid w:val="003D47C3"/>
    <w:rsid w:val="003E009A"/>
    <w:rsid w:val="003E094E"/>
    <w:rsid w:val="003E095C"/>
    <w:rsid w:val="003E3A55"/>
    <w:rsid w:val="003E5172"/>
    <w:rsid w:val="003E6E79"/>
    <w:rsid w:val="003F19AD"/>
    <w:rsid w:val="003F1A09"/>
    <w:rsid w:val="003F1AF0"/>
    <w:rsid w:val="003F20DA"/>
    <w:rsid w:val="003F48FD"/>
    <w:rsid w:val="00401E59"/>
    <w:rsid w:val="004037AA"/>
    <w:rsid w:val="004041A0"/>
    <w:rsid w:val="00405E63"/>
    <w:rsid w:val="004060DA"/>
    <w:rsid w:val="00415999"/>
    <w:rsid w:val="0041708A"/>
    <w:rsid w:val="0041763D"/>
    <w:rsid w:val="00421526"/>
    <w:rsid w:val="00421984"/>
    <w:rsid w:val="004228AC"/>
    <w:rsid w:val="00422E2C"/>
    <w:rsid w:val="004267A9"/>
    <w:rsid w:val="00427B99"/>
    <w:rsid w:val="00430DB2"/>
    <w:rsid w:val="00434B83"/>
    <w:rsid w:val="00435798"/>
    <w:rsid w:val="00436958"/>
    <w:rsid w:val="00437800"/>
    <w:rsid w:val="00437D94"/>
    <w:rsid w:val="00443249"/>
    <w:rsid w:val="00444100"/>
    <w:rsid w:val="0044580B"/>
    <w:rsid w:val="00446205"/>
    <w:rsid w:val="00446D28"/>
    <w:rsid w:val="00451EE7"/>
    <w:rsid w:val="004525A2"/>
    <w:rsid w:val="00452DC9"/>
    <w:rsid w:val="00453222"/>
    <w:rsid w:val="00454274"/>
    <w:rsid w:val="00456981"/>
    <w:rsid w:val="00457308"/>
    <w:rsid w:val="004611C9"/>
    <w:rsid w:val="00461DC2"/>
    <w:rsid w:val="00462340"/>
    <w:rsid w:val="00462C19"/>
    <w:rsid w:val="004632D6"/>
    <w:rsid w:val="00464F0C"/>
    <w:rsid w:val="00471400"/>
    <w:rsid w:val="004716AD"/>
    <w:rsid w:val="00476052"/>
    <w:rsid w:val="00480156"/>
    <w:rsid w:val="00480C41"/>
    <w:rsid w:val="00481C15"/>
    <w:rsid w:val="0048397B"/>
    <w:rsid w:val="00484DDC"/>
    <w:rsid w:val="004851E8"/>
    <w:rsid w:val="00486425"/>
    <w:rsid w:val="00491E77"/>
    <w:rsid w:val="0049702C"/>
    <w:rsid w:val="004A2AC8"/>
    <w:rsid w:val="004A4D68"/>
    <w:rsid w:val="004B11EB"/>
    <w:rsid w:val="004B2C44"/>
    <w:rsid w:val="004B3CCD"/>
    <w:rsid w:val="004B4F7C"/>
    <w:rsid w:val="004B59A4"/>
    <w:rsid w:val="004B726D"/>
    <w:rsid w:val="004C46D1"/>
    <w:rsid w:val="004D4AAF"/>
    <w:rsid w:val="004D710B"/>
    <w:rsid w:val="004D7A20"/>
    <w:rsid w:val="004D7CC9"/>
    <w:rsid w:val="004E0D83"/>
    <w:rsid w:val="004E1EAD"/>
    <w:rsid w:val="004F43CC"/>
    <w:rsid w:val="004F464B"/>
    <w:rsid w:val="004F7B1D"/>
    <w:rsid w:val="00500160"/>
    <w:rsid w:val="0050511E"/>
    <w:rsid w:val="00505903"/>
    <w:rsid w:val="00506A84"/>
    <w:rsid w:val="005073FC"/>
    <w:rsid w:val="00507885"/>
    <w:rsid w:val="00511D6E"/>
    <w:rsid w:val="005130A4"/>
    <w:rsid w:val="00513FDA"/>
    <w:rsid w:val="00514594"/>
    <w:rsid w:val="00516A4A"/>
    <w:rsid w:val="0051753C"/>
    <w:rsid w:val="005207A4"/>
    <w:rsid w:val="00520BFB"/>
    <w:rsid w:val="00521B00"/>
    <w:rsid w:val="00521BE6"/>
    <w:rsid w:val="0052343A"/>
    <w:rsid w:val="005239EB"/>
    <w:rsid w:val="00527578"/>
    <w:rsid w:val="0053227D"/>
    <w:rsid w:val="00533372"/>
    <w:rsid w:val="005433A1"/>
    <w:rsid w:val="00545046"/>
    <w:rsid w:val="0054620A"/>
    <w:rsid w:val="00547F2C"/>
    <w:rsid w:val="005503E4"/>
    <w:rsid w:val="0055203F"/>
    <w:rsid w:val="00555DC4"/>
    <w:rsid w:val="00555F70"/>
    <w:rsid w:val="00556340"/>
    <w:rsid w:val="00560FDC"/>
    <w:rsid w:val="00570192"/>
    <w:rsid w:val="00570468"/>
    <w:rsid w:val="0058500B"/>
    <w:rsid w:val="005869ED"/>
    <w:rsid w:val="00586B6E"/>
    <w:rsid w:val="005879C9"/>
    <w:rsid w:val="00587B36"/>
    <w:rsid w:val="00592A2B"/>
    <w:rsid w:val="005956FF"/>
    <w:rsid w:val="00595F7F"/>
    <w:rsid w:val="00596575"/>
    <w:rsid w:val="005A0EE0"/>
    <w:rsid w:val="005A1804"/>
    <w:rsid w:val="005A3850"/>
    <w:rsid w:val="005A3BA7"/>
    <w:rsid w:val="005A3C28"/>
    <w:rsid w:val="005A5DB5"/>
    <w:rsid w:val="005B101E"/>
    <w:rsid w:val="005B2A7A"/>
    <w:rsid w:val="005B2C7E"/>
    <w:rsid w:val="005B376F"/>
    <w:rsid w:val="005B6A8F"/>
    <w:rsid w:val="005C03A4"/>
    <w:rsid w:val="005C1BC6"/>
    <w:rsid w:val="005C255C"/>
    <w:rsid w:val="005C4E84"/>
    <w:rsid w:val="005C5F62"/>
    <w:rsid w:val="005C612F"/>
    <w:rsid w:val="005D455F"/>
    <w:rsid w:val="005D6DD3"/>
    <w:rsid w:val="005D70C5"/>
    <w:rsid w:val="005E03DB"/>
    <w:rsid w:val="005E19D7"/>
    <w:rsid w:val="005E274B"/>
    <w:rsid w:val="005E37E6"/>
    <w:rsid w:val="005E38E7"/>
    <w:rsid w:val="005E40FD"/>
    <w:rsid w:val="005F1C68"/>
    <w:rsid w:val="005F3783"/>
    <w:rsid w:val="005F3897"/>
    <w:rsid w:val="005F6515"/>
    <w:rsid w:val="0060443F"/>
    <w:rsid w:val="00604852"/>
    <w:rsid w:val="006057E6"/>
    <w:rsid w:val="00607478"/>
    <w:rsid w:val="00607D47"/>
    <w:rsid w:val="00612A3A"/>
    <w:rsid w:val="00613D3D"/>
    <w:rsid w:val="00614641"/>
    <w:rsid w:val="006151FF"/>
    <w:rsid w:val="00616FA7"/>
    <w:rsid w:val="00620873"/>
    <w:rsid w:val="006239DC"/>
    <w:rsid w:val="00625A82"/>
    <w:rsid w:val="00626AE6"/>
    <w:rsid w:val="00626E96"/>
    <w:rsid w:val="006304A6"/>
    <w:rsid w:val="00631412"/>
    <w:rsid w:val="00632621"/>
    <w:rsid w:val="006345BC"/>
    <w:rsid w:val="00637A86"/>
    <w:rsid w:val="00642617"/>
    <w:rsid w:val="00646F35"/>
    <w:rsid w:val="00647149"/>
    <w:rsid w:val="006517D5"/>
    <w:rsid w:val="00651B6E"/>
    <w:rsid w:val="0065751C"/>
    <w:rsid w:val="00660003"/>
    <w:rsid w:val="00661013"/>
    <w:rsid w:val="00664907"/>
    <w:rsid w:val="00666785"/>
    <w:rsid w:val="00677D73"/>
    <w:rsid w:val="00683975"/>
    <w:rsid w:val="00685E4D"/>
    <w:rsid w:val="00687D63"/>
    <w:rsid w:val="00694972"/>
    <w:rsid w:val="006954C8"/>
    <w:rsid w:val="006976EA"/>
    <w:rsid w:val="006A020D"/>
    <w:rsid w:val="006A1E65"/>
    <w:rsid w:val="006A284B"/>
    <w:rsid w:val="006A42D3"/>
    <w:rsid w:val="006B0431"/>
    <w:rsid w:val="006B0D76"/>
    <w:rsid w:val="006B5641"/>
    <w:rsid w:val="006C08BC"/>
    <w:rsid w:val="006C0D74"/>
    <w:rsid w:val="006C0F3A"/>
    <w:rsid w:val="006C405E"/>
    <w:rsid w:val="006C50F6"/>
    <w:rsid w:val="006C51DE"/>
    <w:rsid w:val="006C7F54"/>
    <w:rsid w:val="006D1AED"/>
    <w:rsid w:val="006D49FF"/>
    <w:rsid w:val="006D74A9"/>
    <w:rsid w:val="006E1514"/>
    <w:rsid w:val="006E1C5A"/>
    <w:rsid w:val="006E223E"/>
    <w:rsid w:val="006E2DAA"/>
    <w:rsid w:val="006E2DED"/>
    <w:rsid w:val="006E5967"/>
    <w:rsid w:val="006E7C83"/>
    <w:rsid w:val="006F1E2E"/>
    <w:rsid w:val="006F261C"/>
    <w:rsid w:val="006F65B7"/>
    <w:rsid w:val="006F6B89"/>
    <w:rsid w:val="006F79EF"/>
    <w:rsid w:val="006F7FEE"/>
    <w:rsid w:val="007029F5"/>
    <w:rsid w:val="0070403F"/>
    <w:rsid w:val="00704612"/>
    <w:rsid w:val="00705FE4"/>
    <w:rsid w:val="00714563"/>
    <w:rsid w:val="00714E1D"/>
    <w:rsid w:val="00715148"/>
    <w:rsid w:val="00716242"/>
    <w:rsid w:val="007165DA"/>
    <w:rsid w:val="007167BA"/>
    <w:rsid w:val="0072075E"/>
    <w:rsid w:val="0072516A"/>
    <w:rsid w:val="00731E5F"/>
    <w:rsid w:val="007325B7"/>
    <w:rsid w:val="00736044"/>
    <w:rsid w:val="007361D4"/>
    <w:rsid w:val="00740296"/>
    <w:rsid w:val="00740D62"/>
    <w:rsid w:val="00742148"/>
    <w:rsid w:val="00743109"/>
    <w:rsid w:val="007432CB"/>
    <w:rsid w:val="00745EBD"/>
    <w:rsid w:val="00746D7A"/>
    <w:rsid w:val="00746F6C"/>
    <w:rsid w:val="00751056"/>
    <w:rsid w:val="00755EA4"/>
    <w:rsid w:val="00757E98"/>
    <w:rsid w:val="00760ACC"/>
    <w:rsid w:val="00763501"/>
    <w:rsid w:val="00765EBA"/>
    <w:rsid w:val="00767053"/>
    <w:rsid w:val="007733C3"/>
    <w:rsid w:val="00774DB0"/>
    <w:rsid w:val="007752FA"/>
    <w:rsid w:val="007813A8"/>
    <w:rsid w:val="007928E2"/>
    <w:rsid w:val="00792AE6"/>
    <w:rsid w:val="00793388"/>
    <w:rsid w:val="00796896"/>
    <w:rsid w:val="007A336D"/>
    <w:rsid w:val="007A44E1"/>
    <w:rsid w:val="007A7918"/>
    <w:rsid w:val="007B137A"/>
    <w:rsid w:val="007B1F60"/>
    <w:rsid w:val="007B3897"/>
    <w:rsid w:val="007B76EE"/>
    <w:rsid w:val="007C0462"/>
    <w:rsid w:val="007C0CC2"/>
    <w:rsid w:val="007C231E"/>
    <w:rsid w:val="007C44D2"/>
    <w:rsid w:val="007D1DB2"/>
    <w:rsid w:val="007D2F55"/>
    <w:rsid w:val="007D4476"/>
    <w:rsid w:val="007D449B"/>
    <w:rsid w:val="007D5FCB"/>
    <w:rsid w:val="007D721B"/>
    <w:rsid w:val="007E28CA"/>
    <w:rsid w:val="007E33F7"/>
    <w:rsid w:val="007F2452"/>
    <w:rsid w:val="007F4735"/>
    <w:rsid w:val="007F7FF8"/>
    <w:rsid w:val="008001A9"/>
    <w:rsid w:val="008051E3"/>
    <w:rsid w:val="008068F5"/>
    <w:rsid w:val="00807D9E"/>
    <w:rsid w:val="00811266"/>
    <w:rsid w:val="00811853"/>
    <w:rsid w:val="008121B0"/>
    <w:rsid w:val="0081286F"/>
    <w:rsid w:val="00817A84"/>
    <w:rsid w:val="00821C96"/>
    <w:rsid w:val="00821D5A"/>
    <w:rsid w:val="008235C6"/>
    <w:rsid w:val="00824D99"/>
    <w:rsid w:val="008270BB"/>
    <w:rsid w:val="008275A4"/>
    <w:rsid w:val="00827C82"/>
    <w:rsid w:val="008302C8"/>
    <w:rsid w:val="00830749"/>
    <w:rsid w:val="0083120F"/>
    <w:rsid w:val="008317AF"/>
    <w:rsid w:val="008351D5"/>
    <w:rsid w:val="00835BD5"/>
    <w:rsid w:val="00840A16"/>
    <w:rsid w:val="008419FD"/>
    <w:rsid w:val="00841C8D"/>
    <w:rsid w:val="008433E2"/>
    <w:rsid w:val="008443BC"/>
    <w:rsid w:val="00844A64"/>
    <w:rsid w:val="008479C9"/>
    <w:rsid w:val="00847B2B"/>
    <w:rsid w:val="00847E65"/>
    <w:rsid w:val="00852D19"/>
    <w:rsid w:val="00856299"/>
    <w:rsid w:val="00864315"/>
    <w:rsid w:val="00867C8A"/>
    <w:rsid w:val="008739D0"/>
    <w:rsid w:val="00873B75"/>
    <w:rsid w:val="0087598A"/>
    <w:rsid w:val="008760C9"/>
    <w:rsid w:val="008770A3"/>
    <w:rsid w:val="008772FB"/>
    <w:rsid w:val="00881908"/>
    <w:rsid w:val="00882C20"/>
    <w:rsid w:val="00883CC1"/>
    <w:rsid w:val="00887024"/>
    <w:rsid w:val="0088759A"/>
    <w:rsid w:val="0089241E"/>
    <w:rsid w:val="00892517"/>
    <w:rsid w:val="0089550B"/>
    <w:rsid w:val="00895C5C"/>
    <w:rsid w:val="00896549"/>
    <w:rsid w:val="00897922"/>
    <w:rsid w:val="008A171E"/>
    <w:rsid w:val="008A1C24"/>
    <w:rsid w:val="008A3603"/>
    <w:rsid w:val="008B2151"/>
    <w:rsid w:val="008B2AE6"/>
    <w:rsid w:val="008B335D"/>
    <w:rsid w:val="008B4CB9"/>
    <w:rsid w:val="008C1666"/>
    <w:rsid w:val="008C589D"/>
    <w:rsid w:val="008C5F26"/>
    <w:rsid w:val="008C71EC"/>
    <w:rsid w:val="008D0E29"/>
    <w:rsid w:val="008D44B4"/>
    <w:rsid w:val="008E1B58"/>
    <w:rsid w:val="008E1B5A"/>
    <w:rsid w:val="008E3B54"/>
    <w:rsid w:val="008E4E45"/>
    <w:rsid w:val="008E6C4B"/>
    <w:rsid w:val="008F39B2"/>
    <w:rsid w:val="008F3A8F"/>
    <w:rsid w:val="008F546A"/>
    <w:rsid w:val="008F5A97"/>
    <w:rsid w:val="008F6DF6"/>
    <w:rsid w:val="008F6ECB"/>
    <w:rsid w:val="008F6FB1"/>
    <w:rsid w:val="008F706A"/>
    <w:rsid w:val="00903AB3"/>
    <w:rsid w:val="00904707"/>
    <w:rsid w:val="0090489F"/>
    <w:rsid w:val="00907A80"/>
    <w:rsid w:val="00907F51"/>
    <w:rsid w:val="00910E45"/>
    <w:rsid w:val="0091229A"/>
    <w:rsid w:val="009142B9"/>
    <w:rsid w:val="00915CF7"/>
    <w:rsid w:val="00920BCD"/>
    <w:rsid w:val="00921FE3"/>
    <w:rsid w:val="0092242E"/>
    <w:rsid w:val="00922D9C"/>
    <w:rsid w:val="00923383"/>
    <w:rsid w:val="00923459"/>
    <w:rsid w:val="009235C3"/>
    <w:rsid w:val="0092630C"/>
    <w:rsid w:val="00931469"/>
    <w:rsid w:val="0093489A"/>
    <w:rsid w:val="00935016"/>
    <w:rsid w:val="0094043B"/>
    <w:rsid w:val="0094293A"/>
    <w:rsid w:val="00943A34"/>
    <w:rsid w:val="00945333"/>
    <w:rsid w:val="009456FB"/>
    <w:rsid w:val="0095020D"/>
    <w:rsid w:val="00950DAA"/>
    <w:rsid w:val="00951A83"/>
    <w:rsid w:val="009557B1"/>
    <w:rsid w:val="00960A5D"/>
    <w:rsid w:val="00961A1E"/>
    <w:rsid w:val="00962F98"/>
    <w:rsid w:val="009714B7"/>
    <w:rsid w:val="00972376"/>
    <w:rsid w:val="0097426B"/>
    <w:rsid w:val="00974F4F"/>
    <w:rsid w:val="009756BE"/>
    <w:rsid w:val="00980739"/>
    <w:rsid w:val="009820ED"/>
    <w:rsid w:val="00982ED7"/>
    <w:rsid w:val="00982FB2"/>
    <w:rsid w:val="00985FAE"/>
    <w:rsid w:val="009942DD"/>
    <w:rsid w:val="009947E0"/>
    <w:rsid w:val="009957F6"/>
    <w:rsid w:val="00995EE4"/>
    <w:rsid w:val="009A0A72"/>
    <w:rsid w:val="009A1DAB"/>
    <w:rsid w:val="009A24F6"/>
    <w:rsid w:val="009A31F4"/>
    <w:rsid w:val="009A4689"/>
    <w:rsid w:val="009B1804"/>
    <w:rsid w:val="009B4F56"/>
    <w:rsid w:val="009B6BBA"/>
    <w:rsid w:val="009B74AB"/>
    <w:rsid w:val="009C38D2"/>
    <w:rsid w:val="009D0429"/>
    <w:rsid w:val="009D2ADB"/>
    <w:rsid w:val="009D492A"/>
    <w:rsid w:val="009D5269"/>
    <w:rsid w:val="009D546F"/>
    <w:rsid w:val="009D58DC"/>
    <w:rsid w:val="009D5D06"/>
    <w:rsid w:val="009E2B39"/>
    <w:rsid w:val="009E3C95"/>
    <w:rsid w:val="009F47F2"/>
    <w:rsid w:val="009F4822"/>
    <w:rsid w:val="009F4BC4"/>
    <w:rsid w:val="009F751E"/>
    <w:rsid w:val="00A027E8"/>
    <w:rsid w:val="00A03146"/>
    <w:rsid w:val="00A05CD1"/>
    <w:rsid w:val="00A10AFF"/>
    <w:rsid w:val="00A12B5F"/>
    <w:rsid w:val="00A146C3"/>
    <w:rsid w:val="00A20731"/>
    <w:rsid w:val="00A23CAB"/>
    <w:rsid w:val="00A25416"/>
    <w:rsid w:val="00A30068"/>
    <w:rsid w:val="00A30207"/>
    <w:rsid w:val="00A30F85"/>
    <w:rsid w:val="00A32819"/>
    <w:rsid w:val="00A35C6E"/>
    <w:rsid w:val="00A36BC4"/>
    <w:rsid w:val="00A375B7"/>
    <w:rsid w:val="00A37FD6"/>
    <w:rsid w:val="00A40BB7"/>
    <w:rsid w:val="00A40C35"/>
    <w:rsid w:val="00A50B2D"/>
    <w:rsid w:val="00A50F4F"/>
    <w:rsid w:val="00A5759B"/>
    <w:rsid w:val="00A60ABE"/>
    <w:rsid w:val="00A63160"/>
    <w:rsid w:val="00A6357E"/>
    <w:rsid w:val="00A63C79"/>
    <w:rsid w:val="00A65BA5"/>
    <w:rsid w:val="00A66818"/>
    <w:rsid w:val="00A7046C"/>
    <w:rsid w:val="00A77053"/>
    <w:rsid w:val="00A81D3C"/>
    <w:rsid w:val="00A81E51"/>
    <w:rsid w:val="00A82C2B"/>
    <w:rsid w:val="00A832FC"/>
    <w:rsid w:val="00A84498"/>
    <w:rsid w:val="00A85A60"/>
    <w:rsid w:val="00A85F92"/>
    <w:rsid w:val="00A8612D"/>
    <w:rsid w:val="00A879DE"/>
    <w:rsid w:val="00A87B4C"/>
    <w:rsid w:val="00AA10F2"/>
    <w:rsid w:val="00AA1199"/>
    <w:rsid w:val="00AA1E94"/>
    <w:rsid w:val="00AA230B"/>
    <w:rsid w:val="00AA2FDC"/>
    <w:rsid w:val="00AA5ECC"/>
    <w:rsid w:val="00AC1DF8"/>
    <w:rsid w:val="00AC2C41"/>
    <w:rsid w:val="00AC3424"/>
    <w:rsid w:val="00AC5EB5"/>
    <w:rsid w:val="00AC7275"/>
    <w:rsid w:val="00AD0A2A"/>
    <w:rsid w:val="00AD4060"/>
    <w:rsid w:val="00AD5015"/>
    <w:rsid w:val="00AD69D0"/>
    <w:rsid w:val="00AD7D28"/>
    <w:rsid w:val="00AE05C0"/>
    <w:rsid w:val="00AE0779"/>
    <w:rsid w:val="00AE091C"/>
    <w:rsid w:val="00AE199F"/>
    <w:rsid w:val="00AE1D0B"/>
    <w:rsid w:val="00AE408E"/>
    <w:rsid w:val="00AE4B1E"/>
    <w:rsid w:val="00AE530B"/>
    <w:rsid w:val="00AF0D68"/>
    <w:rsid w:val="00AF4381"/>
    <w:rsid w:val="00AF464A"/>
    <w:rsid w:val="00AF663A"/>
    <w:rsid w:val="00AF7545"/>
    <w:rsid w:val="00AF7D18"/>
    <w:rsid w:val="00AF7EC3"/>
    <w:rsid w:val="00AF7FF1"/>
    <w:rsid w:val="00B01608"/>
    <w:rsid w:val="00B03006"/>
    <w:rsid w:val="00B04E6A"/>
    <w:rsid w:val="00B05A2C"/>
    <w:rsid w:val="00B10F5D"/>
    <w:rsid w:val="00B122DD"/>
    <w:rsid w:val="00B13075"/>
    <w:rsid w:val="00B152AB"/>
    <w:rsid w:val="00B16D6D"/>
    <w:rsid w:val="00B172D6"/>
    <w:rsid w:val="00B21703"/>
    <w:rsid w:val="00B233D6"/>
    <w:rsid w:val="00B24C89"/>
    <w:rsid w:val="00B25F7D"/>
    <w:rsid w:val="00B3158C"/>
    <w:rsid w:val="00B32715"/>
    <w:rsid w:val="00B32895"/>
    <w:rsid w:val="00B335DB"/>
    <w:rsid w:val="00B40FE6"/>
    <w:rsid w:val="00B44290"/>
    <w:rsid w:val="00B45248"/>
    <w:rsid w:val="00B4767B"/>
    <w:rsid w:val="00B477C7"/>
    <w:rsid w:val="00B54202"/>
    <w:rsid w:val="00B6791F"/>
    <w:rsid w:val="00B7175A"/>
    <w:rsid w:val="00B71CD5"/>
    <w:rsid w:val="00B72576"/>
    <w:rsid w:val="00B74370"/>
    <w:rsid w:val="00B760CE"/>
    <w:rsid w:val="00B86914"/>
    <w:rsid w:val="00B86EEB"/>
    <w:rsid w:val="00B90413"/>
    <w:rsid w:val="00B90E98"/>
    <w:rsid w:val="00B91E91"/>
    <w:rsid w:val="00B94FEF"/>
    <w:rsid w:val="00B95A63"/>
    <w:rsid w:val="00B95AF5"/>
    <w:rsid w:val="00B95CD5"/>
    <w:rsid w:val="00B96288"/>
    <w:rsid w:val="00BA003A"/>
    <w:rsid w:val="00BA2A0F"/>
    <w:rsid w:val="00BA7C86"/>
    <w:rsid w:val="00BB1CE0"/>
    <w:rsid w:val="00BB1EBF"/>
    <w:rsid w:val="00BB4135"/>
    <w:rsid w:val="00BB7D85"/>
    <w:rsid w:val="00BC12AF"/>
    <w:rsid w:val="00BC4463"/>
    <w:rsid w:val="00BC5DB3"/>
    <w:rsid w:val="00BC6745"/>
    <w:rsid w:val="00BC6772"/>
    <w:rsid w:val="00BD0ACB"/>
    <w:rsid w:val="00BD0C7A"/>
    <w:rsid w:val="00BD223B"/>
    <w:rsid w:val="00BD6D61"/>
    <w:rsid w:val="00BD6E6E"/>
    <w:rsid w:val="00BE3416"/>
    <w:rsid w:val="00BE53CE"/>
    <w:rsid w:val="00BF1317"/>
    <w:rsid w:val="00BF16D5"/>
    <w:rsid w:val="00BF2071"/>
    <w:rsid w:val="00BF66B3"/>
    <w:rsid w:val="00BF755D"/>
    <w:rsid w:val="00C01D42"/>
    <w:rsid w:val="00C0246E"/>
    <w:rsid w:val="00C0295F"/>
    <w:rsid w:val="00C0297E"/>
    <w:rsid w:val="00C02F8C"/>
    <w:rsid w:val="00C04E59"/>
    <w:rsid w:val="00C04F41"/>
    <w:rsid w:val="00C051FA"/>
    <w:rsid w:val="00C10A37"/>
    <w:rsid w:val="00C1332C"/>
    <w:rsid w:val="00C15CBA"/>
    <w:rsid w:val="00C1781C"/>
    <w:rsid w:val="00C17D46"/>
    <w:rsid w:val="00C25740"/>
    <w:rsid w:val="00C25FD5"/>
    <w:rsid w:val="00C30C9B"/>
    <w:rsid w:val="00C31D2F"/>
    <w:rsid w:val="00C35360"/>
    <w:rsid w:val="00C36443"/>
    <w:rsid w:val="00C44B56"/>
    <w:rsid w:val="00C460A9"/>
    <w:rsid w:val="00C5135F"/>
    <w:rsid w:val="00C52C68"/>
    <w:rsid w:val="00C53175"/>
    <w:rsid w:val="00C54070"/>
    <w:rsid w:val="00C56300"/>
    <w:rsid w:val="00C6035D"/>
    <w:rsid w:val="00C60574"/>
    <w:rsid w:val="00C609C5"/>
    <w:rsid w:val="00C65BDA"/>
    <w:rsid w:val="00C66E5F"/>
    <w:rsid w:val="00C70874"/>
    <w:rsid w:val="00C73831"/>
    <w:rsid w:val="00C747F8"/>
    <w:rsid w:val="00C75467"/>
    <w:rsid w:val="00C77E9C"/>
    <w:rsid w:val="00C8274F"/>
    <w:rsid w:val="00C868F3"/>
    <w:rsid w:val="00C87E79"/>
    <w:rsid w:val="00C92298"/>
    <w:rsid w:val="00C94255"/>
    <w:rsid w:val="00C97D50"/>
    <w:rsid w:val="00CA1EC6"/>
    <w:rsid w:val="00CA2093"/>
    <w:rsid w:val="00CA21E6"/>
    <w:rsid w:val="00CA2668"/>
    <w:rsid w:val="00CA4B7C"/>
    <w:rsid w:val="00CA6954"/>
    <w:rsid w:val="00CA6DD8"/>
    <w:rsid w:val="00CB0807"/>
    <w:rsid w:val="00CB5484"/>
    <w:rsid w:val="00CB5E1B"/>
    <w:rsid w:val="00CC0FA5"/>
    <w:rsid w:val="00CC1607"/>
    <w:rsid w:val="00CC2B06"/>
    <w:rsid w:val="00CC2F9E"/>
    <w:rsid w:val="00CC6C63"/>
    <w:rsid w:val="00CC7EA4"/>
    <w:rsid w:val="00CD027D"/>
    <w:rsid w:val="00CD22DD"/>
    <w:rsid w:val="00CD260A"/>
    <w:rsid w:val="00CD285E"/>
    <w:rsid w:val="00CD2A37"/>
    <w:rsid w:val="00CD3321"/>
    <w:rsid w:val="00CD4385"/>
    <w:rsid w:val="00CD5310"/>
    <w:rsid w:val="00CD6885"/>
    <w:rsid w:val="00CD7F4B"/>
    <w:rsid w:val="00CE0A7A"/>
    <w:rsid w:val="00CE6ABA"/>
    <w:rsid w:val="00CF18BF"/>
    <w:rsid w:val="00CF6170"/>
    <w:rsid w:val="00CF6616"/>
    <w:rsid w:val="00D0495C"/>
    <w:rsid w:val="00D04D76"/>
    <w:rsid w:val="00D075F0"/>
    <w:rsid w:val="00D12AC8"/>
    <w:rsid w:val="00D15600"/>
    <w:rsid w:val="00D16644"/>
    <w:rsid w:val="00D2008F"/>
    <w:rsid w:val="00D22005"/>
    <w:rsid w:val="00D2347D"/>
    <w:rsid w:val="00D277D3"/>
    <w:rsid w:val="00D3111F"/>
    <w:rsid w:val="00D31686"/>
    <w:rsid w:val="00D31E0B"/>
    <w:rsid w:val="00D33258"/>
    <w:rsid w:val="00D3690E"/>
    <w:rsid w:val="00D37C5D"/>
    <w:rsid w:val="00D44A34"/>
    <w:rsid w:val="00D5105E"/>
    <w:rsid w:val="00D510CF"/>
    <w:rsid w:val="00D518C2"/>
    <w:rsid w:val="00D5473E"/>
    <w:rsid w:val="00D547AC"/>
    <w:rsid w:val="00D60D8F"/>
    <w:rsid w:val="00D62766"/>
    <w:rsid w:val="00D63099"/>
    <w:rsid w:val="00D635D4"/>
    <w:rsid w:val="00D651B3"/>
    <w:rsid w:val="00D66751"/>
    <w:rsid w:val="00D67FA6"/>
    <w:rsid w:val="00D71814"/>
    <w:rsid w:val="00D71B61"/>
    <w:rsid w:val="00D71E85"/>
    <w:rsid w:val="00D736A1"/>
    <w:rsid w:val="00D73713"/>
    <w:rsid w:val="00D80BE6"/>
    <w:rsid w:val="00D82612"/>
    <w:rsid w:val="00D867BD"/>
    <w:rsid w:val="00D87F97"/>
    <w:rsid w:val="00D900D1"/>
    <w:rsid w:val="00D91F50"/>
    <w:rsid w:val="00D94749"/>
    <w:rsid w:val="00D95645"/>
    <w:rsid w:val="00D96642"/>
    <w:rsid w:val="00DA1D13"/>
    <w:rsid w:val="00DA3C7C"/>
    <w:rsid w:val="00DA63F9"/>
    <w:rsid w:val="00DA6701"/>
    <w:rsid w:val="00DA7270"/>
    <w:rsid w:val="00DA7825"/>
    <w:rsid w:val="00DB0375"/>
    <w:rsid w:val="00DB3D48"/>
    <w:rsid w:val="00DB6BE5"/>
    <w:rsid w:val="00DC0438"/>
    <w:rsid w:val="00DC380A"/>
    <w:rsid w:val="00DD1947"/>
    <w:rsid w:val="00DD3721"/>
    <w:rsid w:val="00DD6DB5"/>
    <w:rsid w:val="00DD6EC7"/>
    <w:rsid w:val="00DD78C0"/>
    <w:rsid w:val="00DE37CF"/>
    <w:rsid w:val="00DE48D4"/>
    <w:rsid w:val="00DF1F26"/>
    <w:rsid w:val="00DF301C"/>
    <w:rsid w:val="00DF312F"/>
    <w:rsid w:val="00DF59D7"/>
    <w:rsid w:val="00E00A21"/>
    <w:rsid w:val="00E03CB2"/>
    <w:rsid w:val="00E121EA"/>
    <w:rsid w:val="00E1400C"/>
    <w:rsid w:val="00E14EE5"/>
    <w:rsid w:val="00E164FC"/>
    <w:rsid w:val="00E17360"/>
    <w:rsid w:val="00E20C87"/>
    <w:rsid w:val="00E2210B"/>
    <w:rsid w:val="00E23BDB"/>
    <w:rsid w:val="00E24272"/>
    <w:rsid w:val="00E26F5C"/>
    <w:rsid w:val="00E27424"/>
    <w:rsid w:val="00E33B31"/>
    <w:rsid w:val="00E37824"/>
    <w:rsid w:val="00E45272"/>
    <w:rsid w:val="00E47957"/>
    <w:rsid w:val="00E52954"/>
    <w:rsid w:val="00E6252D"/>
    <w:rsid w:val="00E67EA6"/>
    <w:rsid w:val="00E71755"/>
    <w:rsid w:val="00E717A3"/>
    <w:rsid w:val="00E73C87"/>
    <w:rsid w:val="00E74ACD"/>
    <w:rsid w:val="00E75DB6"/>
    <w:rsid w:val="00E76637"/>
    <w:rsid w:val="00E823C3"/>
    <w:rsid w:val="00E842C3"/>
    <w:rsid w:val="00E852D0"/>
    <w:rsid w:val="00E86549"/>
    <w:rsid w:val="00E87022"/>
    <w:rsid w:val="00E94FCC"/>
    <w:rsid w:val="00E965A4"/>
    <w:rsid w:val="00E972A6"/>
    <w:rsid w:val="00E97F3C"/>
    <w:rsid w:val="00EA092E"/>
    <w:rsid w:val="00EA30FD"/>
    <w:rsid w:val="00EA554D"/>
    <w:rsid w:val="00EB0689"/>
    <w:rsid w:val="00EB1FE9"/>
    <w:rsid w:val="00EB34C8"/>
    <w:rsid w:val="00EB3880"/>
    <w:rsid w:val="00EB545A"/>
    <w:rsid w:val="00EC137C"/>
    <w:rsid w:val="00EC1D1E"/>
    <w:rsid w:val="00ED0CEF"/>
    <w:rsid w:val="00ED1B4D"/>
    <w:rsid w:val="00ED4844"/>
    <w:rsid w:val="00ED7070"/>
    <w:rsid w:val="00EE1146"/>
    <w:rsid w:val="00EE346B"/>
    <w:rsid w:val="00EE3EE0"/>
    <w:rsid w:val="00EF65F6"/>
    <w:rsid w:val="00EF6C0D"/>
    <w:rsid w:val="00EF701B"/>
    <w:rsid w:val="00EF7471"/>
    <w:rsid w:val="00F003BF"/>
    <w:rsid w:val="00F012D4"/>
    <w:rsid w:val="00F01927"/>
    <w:rsid w:val="00F037EB"/>
    <w:rsid w:val="00F03AFB"/>
    <w:rsid w:val="00F040AD"/>
    <w:rsid w:val="00F0434F"/>
    <w:rsid w:val="00F0623D"/>
    <w:rsid w:val="00F0797A"/>
    <w:rsid w:val="00F11F2E"/>
    <w:rsid w:val="00F16920"/>
    <w:rsid w:val="00F22F60"/>
    <w:rsid w:val="00F234DA"/>
    <w:rsid w:val="00F24945"/>
    <w:rsid w:val="00F32A90"/>
    <w:rsid w:val="00F3426C"/>
    <w:rsid w:val="00F374B7"/>
    <w:rsid w:val="00F43D72"/>
    <w:rsid w:val="00F500D6"/>
    <w:rsid w:val="00F50496"/>
    <w:rsid w:val="00F50985"/>
    <w:rsid w:val="00F510B3"/>
    <w:rsid w:val="00F52B87"/>
    <w:rsid w:val="00F53281"/>
    <w:rsid w:val="00F53C2F"/>
    <w:rsid w:val="00F550A3"/>
    <w:rsid w:val="00F550A7"/>
    <w:rsid w:val="00F568B3"/>
    <w:rsid w:val="00F723DD"/>
    <w:rsid w:val="00F7489A"/>
    <w:rsid w:val="00F74BBF"/>
    <w:rsid w:val="00F7772E"/>
    <w:rsid w:val="00F82493"/>
    <w:rsid w:val="00F86317"/>
    <w:rsid w:val="00F869FC"/>
    <w:rsid w:val="00F917B3"/>
    <w:rsid w:val="00F926BA"/>
    <w:rsid w:val="00F95FB8"/>
    <w:rsid w:val="00F96256"/>
    <w:rsid w:val="00FA0642"/>
    <w:rsid w:val="00FA51E1"/>
    <w:rsid w:val="00FA68B7"/>
    <w:rsid w:val="00FB1337"/>
    <w:rsid w:val="00FB24D3"/>
    <w:rsid w:val="00FB2CD7"/>
    <w:rsid w:val="00FB3AD6"/>
    <w:rsid w:val="00FB4ED1"/>
    <w:rsid w:val="00FB5249"/>
    <w:rsid w:val="00FB52F8"/>
    <w:rsid w:val="00FC2C9C"/>
    <w:rsid w:val="00FC3B25"/>
    <w:rsid w:val="00FC74FD"/>
    <w:rsid w:val="00FC76B4"/>
    <w:rsid w:val="00FC7E4F"/>
    <w:rsid w:val="00FD1152"/>
    <w:rsid w:val="00FD1AA4"/>
    <w:rsid w:val="00FD1BB1"/>
    <w:rsid w:val="00FD2B05"/>
    <w:rsid w:val="00FD3F03"/>
    <w:rsid w:val="00FD5BA0"/>
    <w:rsid w:val="00FD63B5"/>
    <w:rsid w:val="00FE220D"/>
    <w:rsid w:val="00FE33EB"/>
    <w:rsid w:val="00FE36E3"/>
    <w:rsid w:val="00FE4A3E"/>
    <w:rsid w:val="00FE6FD2"/>
    <w:rsid w:val="00FF09D2"/>
    <w:rsid w:val="00FF33FD"/>
    <w:rsid w:val="00FF5E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13302C-788F-4912-9A76-2659587E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0"/>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274860"/>
    <w:pPr>
      <w:keepNext/>
      <w:spacing w:before="40" w:after="40"/>
      <w:jc w:val="center"/>
      <w:outlineLvl w:val="4"/>
    </w:pPr>
    <w:rPr>
      <w:rFonts w:ascii="Arial" w:hAnsi="Arial"/>
      <w:b/>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uiPriority w:val="9"/>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274860"/>
    <w:rPr>
      <w:rFonts w:ascii="Arial" w:hAnsi="Arial"/>
      <w:b/>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rsid w:val="00101A3A"/>
    <w:rPr>
      <w:color w:val="0000FF"/>
      <w:u w:val="single"/>
    </w:rPr>
  </w:style>
  <w:style w:type="paragraph" w:styleId="Footer">
    <w:name w:val="footer"/>
    <w:basedOn w:val="Normal"/>
    <w:link w:val="FooterChar"/>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qFormat/>
    <w:rsid w:val="00AF0D68"/>
    <w:rPr>
      <w:i/>
      <w:iCs/>
    </w:rPr>
  </w:style>
  <w:style w:type="paragraph" w:styleId="ListParagraph">
    <w:name w:val="List Paragraph"/>
    <w:basedOn w:val="Normal"/>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59"/>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uiPriority w:val="39"/>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rsid w:val="00604852"/>
    <w:rPr>
      <w:sz w:val="20"/>
    </w:rPr>
  </w:style>
  <w:style w:type="character" w:customStyle="1" w:styleId="CommentTextChar">
    <w:name w:val="Comment Text Char"/>
    <w:basedOn w:val="DefaultParagraphFont"/>
    <w:link w:val="CommentText"/>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uiPriority w:val="35"/>
    <w:unhideWhenUsed/>
    <w:qFormat/>
    <w:rsid w:val="00972376"/>
    <w:rPr>
      <w:b/>
      <w:bCs/>
      <w:sz w:val="20"/>
    </w:rPr>
  </w:style>
  <w:style w:type="paragraph" w:styleId="BodyTextIndent">
    <w:name w:val="Body Text Indent"/>
    <w:basedOn w:val="Normal"/>
    <w:link w:val="BodyTextIndentChar"/>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rsid w:val="006C0F3A"/>
  </w:style>
  <w:style w:type="character" w:styleId="FollowedHyperlink">
    <w:name w:val="FollowedHyperlink"/>
    <w:basedOn w:val="DefaultParagraphFont"/>
    <w:unhideWhenUsed/>
    <w:rsid w:val="00367675"/>
    <w:rPr>
      <w:color w:val="800080" w:themeColor="followedHyperlink"/>
      <w:u w:val="single"/>
    </w:rPr>
  </w:style>
  <w:style w:type="character" w:customStyle="1" w:styleId="singlehighlightclasssearchtoken">
    <w:name w:val="single_highlight_class searchtoken"/>
    <w:basedOn w:val="DefaultParagraphFont"/>
    <w:rsid w:val="0007413D"/>
  </w:style>
  <w:style w:type="character" w:customStyle="1" w:styleId="ft">
    <w:name w:val="ft"/>
    <w:basedOn w:val="DefaultParagraphFont"/>
    <w:rsid w:val="00435798"/>
  </w:style>
  <w:style w:type="paragraph" w:customStyle="1" w:styleId="abbreviations">
    <w:name w:val="abbreviations"/>
    <w:basedOn w:val="abstract"/>
    <w:next w:val="Normal"/>
    <w:rsid w:val="00AD7D28"/>
    <w:pPr>
      <w:tabs>
        <w:tab w:val="left" w:pos="3402"/>
      </w:tabs>
      <w:ind w:left="3402" w:hanging="3402"/>
    </w:pPr>
  </w:style>
  <w:style w:type="paragraph" w:customStyle="1" w:styleId="abstract">
    <w:name w:val="abstract"/>
    <w:basedOn w:val="Normal"/>
    <w:next w:val="keywords"/>
    <w:rsid w:val="00AD7D28"/>
    <w:pPr>
      <w:spacing w:before="120" w:after="200" w:line="276" w:lineRule="auto"/>
    </w:pPr>
    <w:rPr>
      <w:rFonts w:asciiTheme="minorHAnsi" w:eastAsiaTheme="minorEastAsia" w:hAnsiTheme="minorHAnsi" w:cstheme="minorBidi"/>
      <w:sz w:val="20"/>
      <w:lang w:bidi="hi-IN"/>
    </w:rPr>
  </w:style>
  <w:style w:type="paragraph" w:customStyle="1" w:styleId="keywords">
    <w:name w:val="keywords"/>
    <w:basedOn w:val="Normal"/>
    <w:next w:val="Normal"/>
    <w:rsid w:val="00AD7D28"/>
    <w:pPr>
      <w:spacing w:before="120" w:after="200" w:line="276" w:lineRule="auto"/>
    </w:pPr>
    <w:rPr>
      <w:rFonts w:asciiTheme="minorHAnsi" w:eastAsiaTheme="minorEastAsia" w:hAnsiTheme="minorHAnsi" w:cstheme="minorBidi"/>
      <w:i/>
      <w:lang w:bidi="hi-IN"/>
    </w:rPr>
  </w:style>
  <w:style w:type="paragraph" w:customStyle="1" w:styleId="Title1">
    <w:name w:val="Title1"/>
    <w:basedOn w:val="Normal"/>
    <w:next w:val="author"/>
    <w:rsid w:val="00AD7D28"/>
    <w:pPr>
      <w:spacing w:before="0" w:after="200" w:line="276" w:lineRule="auto"/>
    </w:pPr>
    <w:rPr>
      <w:rFonts w:ascii="Arial" w:eastAsiaTheme="minorEastAsia" w:hAnsi="Arial" w:cstheme="minorBidi"/>
      <w:b/>
      <w:sz w:val="36"/>
      <w:lang w:bidi="hi-IN"/>
    </w:rPr>
  </w:style>
  <w:style w:type="paragraph" w:customStyle="1" w:styleId="author">
    <w:name w:val="author"/>
    <w:basedOn w:val="Normal"/>
    <w:next w:val="affiliation"/>
    <w:rsid w:val="00AD7D28"/>
    <w:pPr>
      <w:spacing w:before="120" w:after="200" w:line="276" w:lineRule="auto"/>
    </w:pPr>
    <w:rPr>
      <w:rFonts w:asciiTheme="minorHAnsi" w:eastAsiaTheme="minorEastAsia" w:hAnsiTheme="minorHAnsi" w:cstheme="minorBidi"/>
      <w:lang w:bidi="hi-IN"/>
    </w:rPr>
  </w:style>
  <w:style w:type="paragraph" w:customStyle="1" w:styleId="affiliation">
    <w:name w:val="affiliation"/>
    <w:basedOn w:val="Normal"/>
    <w:next w:val="phone"/>
    <w:rsid w:val="00AD7D28"/>
    <w:pPr>
      <w:spacing w:before="120" w:after="200"/>
    </w:pPr>
    <w:rPr>
      <w:rFonts w:asciiTheme="minorHAnsi" w:eastAsiaTheme="minorEastAsia" w:hAnsiTheme="minorHAnsi" w:cstheme="minorBidi"/>
      <w:i/>
      <w:lang w:bidi="hi-IN"/>
    </w:rPr>
  </w:style>
  <w:style w:type="paragraph" w:customStyle="1" w:styleId="phone">
    <w:name w:val="phone"/>
    <w:basedOn w:val="Normal"/>
    <w:next w:val="fax"/>
    <w:rsid w:val="00AD7D28"/>
    <w:pPr>
      <w:spacing w:before="120" w:after="200"/>
    </w:pPr>
    <w:rPr>
      <w:rFonts w:asciiTheme="minorHAnsi" w:eastAsiaTheme="minorEastAsia" w:hAnsiTheme="minorHAnsi" w:cstheme="minorBidi"/>
      <w:sz w:val="20"/>
      <w:lang w:bidi="hi-IN"/>
    </w:rPr>
  </w:style>
  <w:style w:type="paragraph" w:customStyle="1" w:styleId="fax">
    <w:name w:val="fax"/>
    <w:rsid w:val="00AD7D28"/>
    <w:pPr>
      <w:spacing w:before="120" w:after="200"/>
    </w:pPr>
    <w:rPr>
      <w:rFonts w:asciiTheme="minorHAnsi" w:eastAsiaTheme="minorEastAsia" w:hAnsiTheme="minorHAnsi" w:cstheme="minorBidi"/>
      <w:lang w:bidi="hi-IN"/>
    </w:rPr>
  </w:style>
  <w:style w:type="paragraph" w:customStyle="1" w:styleId="heading20">
    <w:name w:val="heading2"/>
    <w:basedOn w:val="Normal"/>
    <w:next w:val="Normal"/>
    <w:rsid w:val="00AD7D28"/>
    <w:pPr>
      <w:keepNext/>
      <w:spacing w:before="240" w:after="180" w:line="276" w:lineRule="auto"/>
    </w:pPr>
    <w:rPr>
      <w:rFonts w:ascii="Arial" w:eastAsiaTheme="minorEastAsia" w:hAnsi="Arial" w:cstheme="minorBidi"/>
      <w:b/>
      <w:lang w:bidi="hi-IN"/>
    </w:rPr>
  </w:style>
  <w:style w:type="paragraph" w:customStyle="1" w:styleId="heading30">
    <w:name w:val="heading3"/>
    <w:basedOn w:val="Normal"/>
    <w:next w:val="Normal"/>
    <w:rsid w:val="00AD7D28"/>
    <w:pPr>
      <w:keepNext/>
      <w:spacing w:before="240" w:after="180" w:line="276" w:lineRule="auto"/>
    </w:pPr>
    <w:rPr>
      <w:rFonts w:ascii="Arial" w:eastAsiaTheme="minorEastAsia" w:hAnsi="Arial" w:cstheme="minorBidi"/>
      <w:i/>
      <w:lang w:bidi="hi-IN"/>
    </w:rPr>
  </w:style>
  <w:style w:type="paragraph" w:customStyle="1" w:styleId="acknowledgements">
    <w:name w:val="acknowledgements"/>
    <w:basedOn w:val="abstract"/>
    <w:next w:val="Normal"/>
    <w:rsid w:val="00AD7D28"/>
    <w:pPr>
      <w:spacing w:before="240"/>
    </w:pPr>
  </w:style>
  <w:style w:type="paragraph" w:customStyle="1" w:styleId="reference0">
    <w:name w:val="reference"/>
    <w:basedOn w:val="Normal"/>
    <w:rsid w:val="00AD7D28"/>
    <w:pPr>
      <w:spacing w:before="0" w:after="200" w:line="276" w:lineRule="auto"/>
    </w:pPr>
    <w:rPr>
      <w:rFonts w:asciiTheme="minorHAnsi" w:eastAsiaTheme="minorEastAsia" w:hAnsiTheme="minorHAnsi" w:cstheme="minorBidi"/>
      <w:sz w:val="20"/>
      <w:lang w:bidi="hi-IN"/>
    </w:rPr>
  </w:style>
  <w:style w:type="paragraph" w:customStyle="1" w:styleId="equation">
    <w:name w:val="equation"/>
    <w:basedOn w:val="Normal"/>
    <w:next w:val="Normal"/>
    <w:rsid w:val="00AD7D28"/>
    <w:pPr>
      <w:spacing w:before="120" w:line="276" w:lineRule="auto"/>
      <w:jc w:val="center"/>
    </w:pPr>
    <w:rPr>
      <w:rFonts w:asciiTheme="minorHAnsi" w:eastAsiaTheme="minorEastAsia" w:hAnsiTheme="minorHAnsi" w:cstheme="minorBidi"/>
      <w:lang w:bidi="hi-IN"/>
    </w:rPr>
  </w:style>
  <w:style w:type="paragraph" w:customStyle="1" w:styleId="figlegend">
    <w:name w:val="fig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paragraph" w:customStyle="1" w:styleId="tablelegend">
    <w:name w:val="table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character" w:customStyle="1" w:styleId="apple-converted-space">
    <w:name w:val="apple-converted-space"/>
    <w:basedOn w:val="DefaultParagraphFont"/>
    <w:rsid w:val="00AD7D28"/>
  </w:style>
  <w:style w:type="paragraph" w:styleId="TOCHeading">
    <w:name w:val="TOC Heading"/>
    <w:basedOn w:val="Heading1"/>
    <w:next w:val="Normal"/>
    <w:uiPriority w:val="39"/>
    <w:unhideWhenUsed/>
    <w:qFormat/>
    <w:rsid w:val="00A375B7"/>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2">
    <w:name w:val="toc 2"/>
    <w:basedOn w:val="Normal"/>
    <w:next w:val="Normal"/>
    <w:autoRedefine/>
    <w:uiPriority w:val="39"/>
    <w:unhideWhenUsed/>
    <w:rsid w:val="00A375B7"/>
    <w:pPr>
      <w:spacing w:before="0" w:after="100"/>
      <w:ind w:left="220"/>
    </w:pPr>
    <w:rPr>
      <w:rFonts w:ascii="Calibri" w:eastAsia="Calibri" w:hAnsi="Calibri" w:cs="Calibri"/>
      <w:color w:val="000000"/>
    </w:rPr>
  </w:style>
  <w:style w:type="paragraph" w:styleId="TOC3">
    <w:name w:val="toc 3"/>
    <w:basedOn w:val="Normal"/>
    <w:next w:val="Normal"/>
    <w:autoRedefine/>
    <w:uiPriority w:val="39"/>
    <w:unhideWhenUsed/>
    <w:rsid w:val="00A375B7"/>
    <w:pPr>
      <w:spacing w:before="0" w:after="100"/>
      <w:ind w:left="440"/>
    </w:pPr>
    <w:rPr>
      <w:rFonts w:ascii="Calibri" w:eastAsia="Calibri" w:hAnsi="Calibri" w:cs="Calibri"/>
      <w:color w:val="000000"/>
    </w:rPr>
  </w:style>
  <w:style w:type="character" w:styleId="IntenseEmphasis">
    <w:name w:val="Intense Emphasis"/>
    <w:basedOn w:val="DefaultParagraphFont"/>
    <w:uiPriority w:val="21"/>
    <w:qFormat/>
    <w:rsid w:val="00A375B7"/>
    <w:rPr>
      <w:b/>
      <w:bCs/>
      <w:i/>
      <w:iCs/>
      <w:color w:val="4F81BD" w:themeColor="accent1"/>
    </w:rPr>
  </w:style>
  <w:style w:type="table" w:styleId="MediumShading2-Accent2">
    <w:name w:val="Medium Shading 2 Accent 2"/>
    <w:basedOn w:val="TableNormal"/>
    <w:rsid w:val="00C01D42"/>
    <w:rPr>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1D42"/>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yle2">
    <w:name w:val="style2"/>
    <w:basedOn w:val="Normal"/>
    <w:rsid w:val="00C01D42"/>
    <w:pPr>
      <w:spacing w:before="100" w:beforeAutospacing="1" w:after="100" w:afterAutospacing="1"/>
    </w:pPr>
    <w:rPr>
      <w:rFonts w:ascii="Times New Roman" w:hAnsi="Times New Roman"/>
      <w:sz w:val="24"/>
      <w:szCs w:val="24"/>
    </w:rPr>
  </w:style>
  <w:style w:type="paragraph" w:customStyle="1" w:styleId="style4">
    <w:name w:val="style4"/>
    <w:basedOn w:val="Normal"/>
    <w:rsid w:val="00C01D42"/>
    <w:pPr>
      <w:spacing w:before="100" w:beforeAutospacing="1" w:after="100" w:afterAutospacing="1"/>
    </w:pPr>
    <w:rPr>
      <w:rFonts w:ascii="Times New Roman" w:hAnsi="Times New Roman"/>
      <w:sz w:val="24"/>
      <w:szCs w:val="24"/>
    </w:rPr>
  </w:style>
  <w:style w:type="character" w:customStyle="1" w:styleId="style16">
    <w:name w:val="style16"/>
    <w:basedOn w:val="DefaultParagraphFont"/>
    <w:rsid w:val="00C01D42"/>
  </w:style>
  <w:style w:type="paragraph" w:customStyle="1" w:styleId="style15">
    <w:name w:val="style15"/>
    <w:basedOn w:val="Normal"/>
    <w:rsid w:val="00C01D42"/>
    <w:pPr>
      <w:spacing w:before="100" w:beforeAutospacing="1" w:after="100" w:afterAutospacing="1"/>
    </w:pPr>
    <w:rPr>
      <w:rFonts w:ascii="Times New Roman" w:hAnsi="Times New Roman"/>
      <w:sz w:val="24"/>
      <w:szCs w:val="24"/>
    </w:rPr>
  </w:style>
  <w:style w:type="paragraph" w:customStyle="1" w:styleId="style8">
    <w:name w:val="style8"/>
    <w:basedOn w:val="Normal"/>
    <w:rsid w:val="00C01D42"/>
    <w:pPr>
      <w:spacing w:before="100" w:beforeAutospacing="1" w:after="100" w:afterAutospacing="1"/>
    </w:pPr>
    <w:rPr>
      <w:rFonts w:ascii="Times New Roman" w:hAnsi="Times New Roman"/>
      <w:sz w:val="24"/>
      <w:szCs w:val="24"/>
    </w:rPr>
  </w:style>
  <w:style w:type="paragraph" w:customStyle="1" w:styleId="style12">
    <w:name w:val="style12"/>
    <w:basedOn w:val="Normal"/>
    <w:rsid w:val="00C01D42"/>
    <w:pPr>
      <w:spacing w:before="100" w:beforeAutospacing="1" w:after="100" w:afterAutospacing="1"/>
    </w:pPr>
    <w:rPr>
      <w:rFonts w:ascii="Times New Roman" w:hAnsi="Times New Roman"/>
      <w:sz w:val="24"/>
      <w:szCs w:val="24"/>
    </w:rPr>
  </w:style>
  <w:style w:type="paragraph" w:customStyle="1" w:styleId="style13">
    <w:name w:val="style13"/>
    <w:basedOn w:val="Normal"/>
    <w:rsid w:val="00C01D42"/>
    <w:pPr>
      <w:spacing w:before="100" w:beforeAutospacing="1" w:after="100" w:afterAutospacing="1"/>
    </w:pPr>
    <w:rPr>
      <w:rFonts w:ascii="Times New Roman" w:hAnsi="Times New Roman"/>
      <w:sz w:val="24"/>
      <w:szCs w:val="24"/>
    </w:rPr>
  </w:style>
  <w:style w:type="character" w:customStyle="1" w:styleId="style9">
    <w:name w:val="style9"/>
    <w:basedOn w:val="DefaultParagraphFont"/>
    <w:rsid w:val="00C01D42"/>
  </w:style>
  <w:style w:type="character" w:customStyle="1" w:styleId="style10">
    <w:name w:val="style10"/>
    <w:basedOn w:val="DefaultParagraphFont"/>
    <w:rsid w:val="00C01D42"/>
  </w:style>
  <w:style w:type="paragraph" w:customStyle="1" w:styleId="Pa1">
    <w:name w:val="Pa1"/>
    <w:basedOn w:val="Default"/>
    <w:next w:val="Default"/>
    <w:rsid w:val="00C01D42"/>
    <w:pPr>
      <w:spacing w:line="241" w:lineRule="atLeast"/>
    </w:pPr>
    <w:rPr>
      <w:rFonts w:ascii="Times" w:hAnsi="Times"/>
      <w:color w:val="auto"/>
    </w:rPr>
  </w:style>
  <w:style w:type="character" w:customStyle="1" w:styleId="tocnumber">
    <w:name w:val="tocnumber"/>
    <w:basedOn w:val="DefaultParagraphFont"/>
    <w:rsid w:val="00626E96"/>
  </w:style>
  <w:style w:type="character" w:customStyle="1" w:styleId="toctext">
    <w:name w:val="toctext"/>
    <w:basedOn w:val="DefaultParagraphFont"/>
    <w:rsid w:val="00626E96"/>
  </w:style>
  <w:style w:type="character" w:customStyle="1" w:styleId="subjectfield-postprocessinghook">
    <w:name w:val="subjectfield-postprocessinghook"/>
    <w:basedOn w:val="DefaultParagraphFont"/>
    <w:rsid w:val="00C44B56"/>
  </w:style>
  <w:style w:type="character" w:customStyle="1" w:styleId="clickable">
    <w:name w:val="clickable"/>
    <w:basedOn w:val="DefaultParagraphFont"/>
    <w:rsid w:val="00C44B56"/>
  </w:style>
  <w:style w:type="character" w:customStyle="1" w:styleId="clickablephonenumber">
    <w:name w:val="clickablephonenumber"/>
    <w:basedOn w:val="DefaultParagraphFont"/>
    <w:rsid w:val="00C44B56"/>
  </w:style>
  <w:style w:type="paragraph" w:customStyle="1" w:styleId="LLTTextinTable">
    <w:name w:val="LLT Text in Table"/>
    <w:basedOn w:val="Default"/>
    <w:next w:val="Default"/>
    <w:uiPriority w:val="99"/>
    <w:rsid w:val="00A63160"/>
    <w:rPr>
      <w:rFonts w:eastAsiaTheme="minorHAnsi"/>
      <w:color w:val="auto"/>
    </w:rPr>
  </w:style>
  <w:style w:type="character" w:customStyle="1" w:styleId="url">
    <w:name w:val="url"/>
    <w:basedOn w:val="DefaultParagraphFont"/>
    <w:rsid w:val="0036169B"/>
  </w:style>
  <w:style w:type="character" w:customStyle="1" w:styleId="a-size-large">
    <w:name w:val="a-size-large"/>
    <w:basedOn w:val="DefaultParagraphFont"/>
    <w:rsid w:val="00AF7EC3"/>
  </w:style>
  <w:style w:type="character" w:customStyle="1" w:styleId="a-size-medium">
    <w:name w:val="a-size-medium"/>
    <w:basedOn w:val="DefaultParagraphFont"/>
    <w:rsid w:val="00AF7EC3"/>
  </w:style>
  <w:style w:type="character" w:customStyle="1" w:styleId="contribution">
    <w:name w:val="contribution"/>
    <w:basedOn w:val="DefaultParagraphFont"/>
    <w:rsid w:val="00AF7EC3"/>
  </w:style>
  <w:style w:type="character" w:customStyle="1" w:styleId="a-color-secondary">
    <w:name w:val="a-color-secondary"/>
    <w:basedOn w:val="DefaultParagraphFont"/>
    <w:rsid w:val="00AF7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4743">
      <w:bodyDiv w:val="1"/>
      <w:marLeft w:val="0"/>
      <w:marRight w:val="0"/>
      <w:marTop w:val="0"/>
      <w:marBottom w:val="0"/>
      <w:divBdr>
        <w:top w:val="none" w:sz="0" w:space="0" w:color="auto"/>
        <w:left w:val="none" w:sz="0" w:space="0" w:color="auto"/>
        <w:bottom w:val="none" w:sz="0" w:space="0" w:color="auto"/>
        <w:right w:val="none" w:sz="0" w:space="0" w:color="auto"/>
      </w:divBdr>
    </w:div>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877007653">
      <w:bodyDiv w:val="1"/>
      <w:marLeft w:val="0"/>
      <w:marRight w:val="0"/>
      <w:marTop w:val="0"/>
      <w:marBottom w:val="0"/>
      <w:divBdr>
        <w:top w:val="none" w:sz="0" w:space="0" w:color="auto"/>
        <w:left w:val="none" w:sz="0" w:space="0" w:color="auto"/>
        <w:bottom w:val="none" w:sz="0" w:space="0" w:color="auto"/>
        <w:right w:val="none" w:sz="0" w:space="0" w:color="auto"/>
      </w:divBdr>
      <w:divsChild>
        <w:div w:id="1477837242">
          <w:marLeft w:val="0"/>
          <w:marRight w:val="0"/>
          <w:marTop w:val="0"/>
          <w:marBottom w:val="0"/>
          <w:divBdr>
            <w:top w:val="none" w:sz="0" w:space="0" w:color="auto"/>
            <w:left w:val="none" w:sz="0" w:space="0" w:color="auto"/>
            <w:bottom w:val="none" w:sz="0" w:space="0" w:color="auto"/>
            <w:right w:val="none" w:sz="0" w:space="0" w:color="auto"/>
          </w:divBdr>
          <w:divsChild>
            <w:div w:id="292752637">
              <w:marLeft w:val="0"/>
              <w:marRight w:val="0"/>
              <w:marTop w:val="0"/>
              <w:marBottom w:val="0"/>
              <w:divBdr>
                <w:top w:val="none" w:sz="0" w:space="0" w:color="auto"/>
                <w:left w:val="none" w:sz="0" w:space="0" w:color="auto"/>
                <w:bottom w:val="none" w:sz="0" w:space="0" w:color="auto"/>
                <w:right w:val="none" w:sz="0" w:space="0" w:color="auto"/>
              </w:divBdr>
            </w:div>
            <w:div w:id="130469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86048">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3047">
      <w:bodyDiv w:val="1"/>
      <w:marLeft w:val="0"/>
      <w:marRight w:val="0"/>
      <w:marTop w:val="0"/>
      <w:marBottom w:val="0"/>
      <w:divBdr>
        <w:top w:val="none" w:sz="0" w:space="0" w:color="auto"/>
        <w:left w:val="none" w:sz="0" w:space="0" w:color="auto"/>
        <w:bottom w:val="none" w:sz="0" w:space="0" w:color="auto"/>
        <w:right w:val="none" w:sz="0" w:space="0" w:color="auto"/>
      </w:divBdr>
      <w:divsChild>
        <w:div w:id="1170415179">
          <w:marLeft w:val="0"/>
          <w:marRight w:val="0"/>
          <w:marTop w:val="0"/>
          <w:marBottom w:val="0"/>
          <w:divBdr>
            <w:top w:val="none" w:sz="0" w:space="0" w:color="auto"/>
            <w:left w:val="none" w:sz="0" w:space="0" w:color="auto"/>
            <w:bottom w:val="none" w:sz="0" w:space="0" w:color="auto"/>
            <w:right w:val="none" w:sz="0" w:space="0" w:color="auto"/>
          </w:divBdr>
          <w:divsChild>
            <w:div w:id="18538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655259168">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12291992">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7.png"/><Relationship Id="rId21" Type="http://schemas.openxmlformats.org/officeDocument/2006/relationships/hyperlink" Target="http://exchanges.state.gov/forum/vols/vol38/no4/p20.htm"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rmu.edu/campusrec" TargetMode="External"/><Relationship Id="rId25" Type="http://schemas.openxmlformats.org/officeDocument/2006/relationships/hyperlink" Target="mailto:sbehroozh1970@yahoo.com" TargetMode="External"/><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buzzelli@rmu.edu" TargetMode="External"/><Relationship Id="rId20" Type="http://schemas.openxmlformats.org/officeDocument/2006/relationships/hyperlink" Target="mailto:mfuller@shsu.edu"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hyperlink" Target="http://www.topendsports.com/sport/sport-list.ht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llt.msu.edu/vol13num1/sauro.pdf" TargetMode="External"/><Relationship Id="rId28" Type="http://schemas.openxmlformats.org/officeDocument/2006/relationships/hyperlink" Target="mailto:efaghih@azad.ac.ir" TargetMode="External"/><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yperlink" Target="http://www.december.com/cmc/mag/1997/jan/december.html" TargetMode="External"/><Relationship Id="rId27" Type="http://schemas.openxmlformats.org/officeDocument/2006/relationships/hyperlink" Target="mailto:Arsanjani.m@Gmail.com" TargetMode="External"/><Relationship Id="rId30" Type="http://schemas.openxmlformats.org/officeDocument/2006/relationships/image" Target="media/image9.emf"/><Relationship Id="rId35" Type="http://schemas.openxmlformats.org/officeDocument/2006/relationships/header" Target="header3.xml"/><Relationship Id="rId8" Type="http://schemas.openxmlformats.org/officeDocument/2006/relationships/hyperlink" Target="http://creativecommons.org/licenses/by-nc-sa/2.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AADA4-2308-4070-9178-D391A6362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24061</Words>
  <Characters>137151</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160891</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DPerrin</dc:creator>
  <cp:lastModifiedBy>Donald Perrin</cp:lastModifiedBy>
  <cp:revision>2</cp:revision>
  <cp:lastPrinted>2014-11-22T19:18:00Z</cp:lastPrinted>
  <dcterms:created xsi:type="dcterms:W3CDTF">2016-06-23T19:39:00Z</dcterms:created>
  <dcterms:modified xsi:type="dcterms:W3CDTF">2016-06-23T19:39:00Z</dcterms:modified>
</cp:coreProperties>
</file>